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B5E" w:rsidRDefault="00F60735">
      <w:pPr>
        <w:jc w:val="center"/>
        <w:rPr>
          <w:b/>
          <w:sz w:val="28"/>
          <w:szCs w:val="28"/>
        </w:rPr>
      </w:pPr>
      <w:r>
        <w:rPr>
          <w:rFonts w:hint="eastAsia"/>
          <w:b/>
          <w:sz w:val="28"/>
          <w:szCs w:val="28"/>
        </w:rPr>
        <w:t>信电系关于进一步落实课程考核管理办法的通知</w:t>
      </w:r>
    </w:p>
    <w:p w:rsidR="00327B5E" w:rsidRDefault="00327B5E">
      <w:pPr>
        <w:adjustRightInd w:val="0"/>
        <w:snapToGrid w:val="0"/>
        <w:spacing w:line="360" w:lineRule="auto"/>
        <w:ind w:firstLineChars="200" w:firstLine="420"/>
        <w:rPr>
          <w:szCs w:val="21"/>
        </w:rPr>
      </w:pPr>
    </w:p>
    <w:p w:rsidR="00327B5E" w:rsidRDefault="00F60735">
      <w:pPr>
        <w:adjustRightInd w:val="0"/>
        <w:snapToGrid w:val="0"/>
        <w:spacing w:line="360" w:lineRule="auto"/>
        <w:ind w:firstLineChars="200" w:firstLine="420"/>
        <w:rPr>
          <w:szCs w:val="21"/>
        </w:rPr>
      </w:pPr>
      <w:r>
        <w:rPr>
          <w:rFonts w:hint="eastAsia"/>
          <w:szCs w:val="21"/>
        </w:rPr>
        <w:t>为了进一步落实《浙江大学本科课程考核管理办法》（浙大发本</w:t>
      </w:r>
      <w:r>
        <w:rPr>
          <w:szCs w:val="21"/>
        </w:rPr>
        <w:t>[200</w:t>
      </w:r>
      <w:r>
        <w:rPr>
          <w:rFonts w:hint="eastAsia"/>
          <w:szCs w:val="21"/>
        </w:rPr>
        <w:t>8</w:t>
      </w:r>
      <w:r>
        <w:rPr>
          <w:szCs w:val="21"/>
        </w:rPr>
        <w:t>]</w:t>
      </w:r>
      <w:r>
        <w:rPr>
          <w:rFonts w:hint="eastAsia"/>
          <w:szCs w:val="21"/>
        </w:rPr>
        <w:t>98</w:t>
      </w:r>
      <w:r>
        <w:rPr>
          <w:rFonts w:hint="eastAsia"/>
          <w:szCs w:val="21"/>
        </w:rPr>
        <w:t>号）的文件精神，信电系现将做好课程考核工作的成绩评定事项通知如下：</w:t>
      </w:r>
    </w:p>
    <w:p w:rsidR="00327B5E" w:rsidRDefault="00F60735">
      <w:pPr>
        <w:adjustRightInd w:val="0"/>
        <w:snapToGrid w:val="0"/>
        <w:spacing w:line="360" w:lineRule="auto"/>
        <w:ind w:firstLineChars="200" w:firstLine="420"/>
        <w:rPr>
          <w:rFonts w:ascii="宋体"/>
          <w:szCs w:val="21"/>
        </w:rPr>
      </w:pPr>
      <w:r>
        <w:rPr>
          <w:rFonts w:hint="eastAsia"/>
          <w:szCs w:val="21"/>
        </w:rPr>
        <w:t>（一）考核成绩的评定，可根据课程性质的不同，采用绝对记分法和相对记分法。成绩记录可采用百分制、五级制（优秀、良好、中等、及格、不及格，或</w:t>
      </w:r>
      <w:r>
        <w:rPr>
          <w:rFonts w:hint="eastAsia"/>
          <w:szCs w:val="21"/>
        </w:rPr>
        <w:t>A</w:t>
      </w:r>
      <w:r>
        <w:rPr>
          <w:rFonts w:hint="eastAsia"/>
          <w:szCs w:val="21"/>
        </w:rPr>
        <w:t>、</w:t>
      </w:r>
      <w:r>
        <w:rPr>
          <w:rFonts w:hint="eastAsia"/>
          <w:szCs w:val="21"/>
        </w:rPr>
        <w:t>B</w:t>
      </w:r>
      <w:r>
        <w:rPr>
          <w:rFonts w:hint="eastAsia"/>
          <w:szCs w:val="21"/>
        </w:rPr>
        <w:t>、</w:t>
      </w:r>
      <w:r>
        <w:rPr>
          <w:rFonts w:hint="eastAsia"/>
          <w:szCs w:val="21"/>
        </w:rPr>
        <w:t>C</w:t>
      </w:r>
      <w:r>
        <w:rPr>
          <w:rFonts w:hint="eastAsia"/>
          <w:szCs w:val="21"/>
        </w:rPr>
        <w:t>、</w:t>
      </w:r>
      <w:r>
        <w:rPr>
          <w:rFonts w:hint="eastAsia"/>
          <w:szCs w:val="21"/>
        </w:rPr>
        <w:t>D</w:t>
      </w:r>
      <w:r>
        <w:rPr>
          <w:rFonts w:hint="eastAsia"/>
          <w:szCs w:val="21"/>
        </w:rPr>
        <w:t>、</w:t>
      </w:r>
      <w:r>
        <w:rPr>
          <w:rFonts w:hint="eastAsia"/>
          <w:szCs w:val="21"/>
        </w:rPr>
        <w:t>E</w:t>
      </w:r>
      <w:r>
        <w:rPr>
          <w:rFonts w:hint="eastAsia"/>
          <w:szCs w:val="21"/>
        </w:rPr>
        <w:t>）或二级制（合格、不合格，或</w:t>
      </w:r>
      <w:r>
        <w:rPr>
          <w:rFonts w:hint="eastAsia"/>
          <w:szCs w:val="21"/>
        </w:rPr>
        <w:t>P</w:t>
      </w:r>
      <w:r>
        <w:rPr>
          <w:rFonts w:hint="eastAsia"/>
          <w:szCs w:val="21"/>
        </w:rPr>
        <w:t>、</w:t>
      </w:r>
      <w:r>
        <w:rPr>
          <w:rFonts w:hint="eastAsia"/>
          <w:szCs w:val="21"/>
        </w:rPr>
        <w:t>F</w:t>
      </w:r>
      <w:r>
        <w:rPr>
          <w:rFonts w:hint="eastAsia"/>
          <w:szCs w:val="21"/>
        </w:rPr>
        <w:t>）。</w:t>
      </w:r>
    </w:p>
    <w:p w:rsidR="00327B5E" w:rsidRDefault="00F60735">
      <w:pPr>
        <w:pStyle w:val="2"/>
        <w:spacing w:before="0" w:beforeAutospacing="0" w:after="0" w:afterAutospacing="0"/>
        <w:rPr>
          <w:szCs w:val="21"/>
        </w:rPr>
      </w:pPr>
      <w:r>
        <w:rPr>
          <w:rFonts w:hint="eastAsia"/>
          <w:szCs w:val="21"/>
        </w:rPr>
        <w:t>（二）补考选课的学生不参加课程的修读，直接参加期末考试或实验考核等。补考合格的，成绩按“补及格”记录，考核不合格的，成绩按“补不及格”记录。选择课程重修的学生经重修后所获得课程成绩按实际得分记录。</w:t>
      </w:r>
    </w:p>
    <w:p w:rsidR="00327B5E" w:rsidRDefault="00F60735">
      <w:pPr>
        <w:adjustRightInd w:val="0"/>
        <w:snapToGrid w:val="0"/>
        <w:spacing w:line="360" w:lineRule="auto"/>
        <w:ind w:firstLineChars="200" w:firstLine="420"/>
        <w:rPr>
          <w:szCs w:val="21"/>
        </w:rPr>
      </w:pPr>
      <w:r>
        <w:rPr>
          <w:rFonts w:hint="eastAsia"/>
          <w:szCs w:val="21"/>
        </w:rPr>
        <w:t>（三）课程的总成绩由平时成绩（一般包括期中考试、课题讨论、小测验、作业、论文、出勤等）和期末考试成绩综合评定，其中平时成绩比例根据课程性质由任课教师确定一般应在总成绩中占</w:t>
      </w:r>
      <w:r>
        <w:rPr>
          <w:rFonts w:hint="eastAsia"/>
          <w:szCs w:val="21"/>
        </w:rPr>
        <w:t>40%</w:t>
      </w:r>
      <w:r>
        <w:rPr>
          <w:rFonts w:hint="eastAsia"/>
          <w:szCs w:val="21"/>
        </w:rPr>
        <w:t>以上。任课教师应在开课第一周告知学生成绩评定比例和考试形式，并在期末考试前告知学生其平时成绩。</w:t>
      </w:r>
    </w:p>
    <w:p w:rsidR="00327B5E" w:rsidRDefault="00F60735">
      <w:pPr>
        <w:adjustRightInd w:val="0"/>
        <w:snapToGrid w:val="0"/>
        <w:spacing w:line="360" w:lineRule="auto"/>
        <w:ind w:firstLineChars="200" w:firstLine="420"/>
        <w:rPr>
          <w:rFonts w:ascii="宋体"/>
          <w:szCs w:val="21"/>
        </w:rPr>
      </w:pPr>
      <w:r>
        <w:rPr>
          <w:rFonts w:ascii="仿宋_GB2312" w:eastAsia="仿宋_GB2312" w:hint="eastAsia"/>
          <w:szCs w:val="21"/>
        </w:rPr>
        <w:t>（</w:t>
      </w:r>
      <w:r>
        <w:rPr>
          <w:rFonts w:ascii="宋体" w:hint="eastAsia"/>
          <w:szCs w:val="21"/>
        </w:rPr>
        <w:t>四）教师应按照评分标准，公正、科学地评阅</w:t>
      </w:r>
      <w:r>
        <w:rPr>
          <w:rFonts w:ascii="宋体" w:hint="eastAsia"/>
          <w:szCs w:val="21"/>
        </w:rPr>
        <w:t>试卷，综合评定的总成绩应客观、真实地反映学生对该课程的掌握程度和学习质量。凡量大面广的试卷（如大类课程、专业必修课等），一般应该组织集中阅卷，采取统一评分标准、流水作业评卷的方式进行。</w:t>
      </w:r>
    </w:p>
    <w:p w:rsidR="00327B5E" w:rsidRDefault="00F60735">
      <w:pPr>
        <w:adjustRightInd w:val="0"/>
        <w:snapToGrid w:val="0"/>
        <w:spacing w:line="360" w:lineRule="auto"/>
        <w:ind w:firstLineChars="200" w:firstLine="420"/>
        <w:rPr>
          <w:rFonts w:ascii="宋体"/>
          <w:szCs w:val="21"/>
        </w:rPr>
      </w:pPr>
      <w:r>
        <w:rPr>
          <w:rFonts w:ascii="宋体" w:hint="eastAsia"/>
          <w:szCs w:val="21"/>
        </w:rPr>
        <w:t>（五）任课教师在考试后</w:t>
      </w:r>
      <w:r>
        <w:rPr>
          <w:rFonts w:ascii="宋体" w:hint="eastAsia"/>
          <w:szCs w:val="21"/>
        </w:rPr>
        <w:t>7</w:t>
      </w:r>
      <w:r>
        <w:rPr>
          <w:rFonts w:ascii="宋体" w:hint="eastAsia"/>
          <w:szCs w:val="21"/>
        </w:rPr>
        <w:t>天内必须完成成绩评定和录入工作，并进行校对，在</w:t>
      </w:r>
      <w:r>
        <w:rPr>
          <w:rFonts w:ascii="宋体" w:hint="eastAsia"/>
          <w:szCs w:val="21"/>
        </w:rPr>
        <w:t>10</w:t>
      </w:r>
      <w:r>
        <w:rPr>
          <w:rFonts w:ascii="宋体" w:hint="eastAsia"/>
          <w:szCs w:val="21"/>
        </w:rPr>
        <w:t>天内手动完成成绩提交工作，并打印上交成绩单。（具体操作见更新后的教务系统提醒）</w:t>
      </w:r>
    </w:p>
    <w:p w:rsidR="00327B5E" w:rsidRDefault="00F60735">
      <w:pPr>
        <w:adjustRightInd w:val="0"/>
        <w:snapToGrid w:val="0"/>
        <w:spacing w:line="360" w:lineRule="auto"/>
        <w:ind w:firstLineChars="200" w:firstLine="420"/>
        <w:rPr>
          <w:rFonts w:ascii="宋体"/>
          <w:szCs w:val="21"/>
        </w:rPr>
      </w:pPr>
      <w:r>
        <w:rPr>
          <w:rFonts w:ascii="宋体" w:hint="eastAsia"/>
          <w:szCs w:val="21"/>
        </w:rPr>
        <w:t>（六）</w:t>
      </w:r>
      <w:r>
        <w:rPr>
          <w:rFonts w:ascii="宋体" w:hint="eastAsia"/>
          <w:szCs w:val="21"/>
        </w:rPr>
        <w:t>课程成绩要尽量符合</w:t>
      </w:r>
      <w:r>
        <w:rPr>
          <w:rFonts w:ascii="宋体" w:hint="eastAsia"/>
          <w:szCs w:val="21"/>
        </w:rPr>
        <w:t>正态分布</w:t>
      </w:r>
      <w:r>
        <w:rPr>
          <w:rFonts w:ascii="宋体" w:hint="eastAsia"/>
          <w:szCs w:val="21"/>
        </w:rPr>
        <w:t>,</w:t>
      </w:r>
      <w:r>
        <w:rPr>
          <w:rFonts w:ascii="宋体" w:hint="eastAsia"/>
          <w:szCs w:val="21"/>
        </w:rPr>
        <w:t>并</w:t>
      </w:r>
      <w:r>
        <w:rPr>
          <w:rFonts w:ascii="宋体" w:hint="eastAsia"/>
          <w:szCs w:val="21"/>
        </w:rPr>
        <w:t>避免不</w:t>
      </w:r>
      <w:r>
        <w:rPr>
          <w:rFonts w:ascii="宋体" w:hint="eastAsia"/>
          <w:szCs w:val="21"/>
        </w:rPr>
        <w:t>及格率较高的状况。</w:t>
      </w:r>
      <w:r>
        <w:rPr>
          <w:rFonts w:ascii="宋体" w:hint="eastAsia"/>
          <w:szCs w:val="21"/>
        </w:rPr>
        <w:t>如果课程成绩</w:t>
      </w:r>
      <w:r>
        <w:rPr>
          <w:rFonts w:ascii="宋体" w:hint="eastAsia"/>
          <w:szCs w:val="21"/>
        </w:rPr>
        <w:t>总体</w:t>
      </w:r>
      <w:r>
        <w:rPr>
          <w:rFonts w:ascii="宋体" w:hint="eastAsia"/>
          <w:szCs w:val="21"/>
        </w:rPr>
        <w:t>偏低，不及格率超过</w:t>
      </w:r>
      <w:r>
        <w:rPr>
          <w:rFonts w:ascii="宋体" w:hint="eastAsia"/>
          <w:szCs w:val="21"/>
        </w:rPr>
        <w:t>8%</w:t>
      </w:r>
      <w:r>
        <w:rPr>
          <w:rFonts w:ascii="宋体" w:hint="eastAsia"/>
          <w:szCs w:val="21"/>
        </w:rPr>
        <w:t>，请任课老师在成绩录入系统前向学系教务办提交附件《信电系课程考试成绩录入特</w:t>
      </w:r>
      <w:r>
        <w:rPr>
          <w:rFonts w:ascii="宋体" w:hint="eastAsia"/>
          <w:szCs w:val="21"/>
        </w:rPr>
        <w:t>殊说明》和平时成绩相关记录材料，由学系审核同意后再录入系统。如课程成绩总体偏高，平均分或中位线在</w:t>
      </w:r>
      <w:r>
        <w:rPr>
          <w:rFonts w:ascii="宋体" w:hint="eastAsia"/>
          <w:szCs w:val="21"/>
        </w:rPr>
        <w:t>90</w:t>
      </w:r>
      <w:r>
        <w:rPr>
          <w:rFonts w:ascii="宋体" w:hint="eastAsia"/>
          <w:szCs w:val="21"/>
        </w:rPr>
        <w:t>分以上的，请任课老师在成绩录入系统前向学系教务办提交</w:t>
      </w:r>
      <w:r w:rsidRPr="00F60735">
        <w:rPr>
          <w:rFonts w:ascii="宋体" w:hint="eastAsia"/>
          <w:color w:val="FF0000"/>
          <w:szCs w:val="21"/>
        </w:rPr>
        <w:t>附件</w:t>
      </w:r>
      <w:r>
        <w:rPr>
          <w:rFonts w:ascii="宋体" w:hint="eastAsia"/>
          <w:szCs w:val="21"/>
        </w:rPr>
        <w:t>《信电系课程考试成绩录入特殊说明》和平时成绩相关记录材料，由学系审核同意后再录入系统。说明：缺考、弃考、缓考学生不计入。</w:t>
      </w:r>
    </w:p>
    <w:p w:rsidR="00327B5E" w:rsidRDefault="00F60735">
      <w:pPr>
        <w:adjustRightInd w:val="0"/>
        <w:snapToGrid w:val="0"/>
        <w:spacing w:line="360" w:lineRule="auto"/>
        <w:ind w:firstLineChars="200" w:firstLine="420"/>
        <w:rPr>
          <w:rFonts w:ascii="宋体"/>
          <w:szCs w:val="21"/>
        </w:rPr>
      </w:pPr>
      <w:r>
        <w:rPr>
          <w:rFonts w:ascii="宋体" w:hint="eastAsia"/>
          <w:szCs w:val="21"/>
        </w:rPr>
        <w:t>（七）关于成绩更正：在成绩正式提交系统后，如试卷确有差错需修改成绩的，请任课老师登陆现代教务系统进行成绩更正，并打印《成绩更正表》，签好字后交学系教务办。成绩更正的时间截点：下一学期开学前</w:t>
      </w:r>
      <w:r>
        <w:rPr>
          <w:rFonts w:ascii="宋体" w:hint="eastAsia"/>
          <w:szCs w:val="21"/>
        </w:rPr>
        <w:t>20</w:t>
      </w:r>
      <w:r>
        <w:rPr>
          <w:rFonts w:ascii="宋体" w:hint="eastAsia"/>
          <w:szCs w:val="21"/>
        </w:rPr>
        <w:t>天内。因成绩更正是学校对学系考核的一个指标</w:t>
      </w:r>
      <w:r>
        <w:rPr>
          <w:rFonts w:ascii="宋体" w:hint="eastAsia"/>
          <w:szCs w:val="21"/>
        </w:rPr>
        <w:t>，请老师务必做好前期的核对工作，尽量减少成绩更正。</w:t>
      </w:r>
    </w:p>
    <w:p w:rsidR="00327B5E" w:rsidRDefault="00F60735">
      <w:pPr>
        <w:adjustRightInd w:val="0"/>
        <w:snapToGrid w:val="0"/>
        <w:spacing w:line="360" w:lineRule="auto"/>
        <w:ind w:firstLineChars="200" w:firstLine="420"/>
        <w:rPr>
          <w:rFonts w:ascii="宋体"/>
          <w:szCs w:val="21"/>
        </w:rPr>
      </w:pPr>
      <w:r>
        <w:rPr>
          <w:rFonts w:ascii="宋体" w:hint="eastAsia"/>
          <w:szCs w:val="21"/>
        </w:rPr>
        <w:t>如有问题，请联系信电系教务办公室</w:t>
      </w:r>
      <w:r>
        <w:rPr>
          <w:rFonts w:ascii="宋体" w:hint="eastAsia"/>
          <w:szCs w:val="21"/>
        </w:rPr>
        <w:t>87953076</w:t>
      </w:r>
      <w:r>
        <w:rPr>
          <w:rFonts w:ascii="宋体" w:hint="eastAsia"/>
          <w:szCs w:val="21"/>
        </w:rPr>
        <w:t>。</w:t>
      </w:r>
    </w:p>
    <w:p w:rsidR="00327B5E" w:rsidRDefault="00327B5E">
      <w:pPr>
        <w:adjustRightInd w:val="0"/>
        <w:snapToGrid w:val="0"/>
        <w:spacing w:line="360" w:lineRule="auto"/>
        <w:ind w:firstLineChars="200" w:firstLine="420"/>
        <w:rPr>
          <w:rFonts w:ascii="宋体"/>
          <w:szCs w:val="21"/>
        </w:rPr>
      </w:pPr>
    </w:p>
    <w:p w:rsidR="00327B5E" w:rsidRDefault="00327B5E">
      <w:pPr>
        <w:adjustRightInd w:val="0"/>
        <w:snapToGrid w:val="0"/>
        <w:spacing w:line="360" w:lineRule="auto"/>
        <w:ind w:firstLineChars="200" w:firstLine="420"/>
        <w:rPr>
          <w:rFonts w:ascii="宋体"/>
          <w:szCs w:val="21"/>
        </w:rPr>
      </w:pPr>
    </w:p>
    <w:p w:rsidR="00327B5E" w:rsidRDefault="00F60735">
      <w:pPr>
        <w:spacing w:line="360" w:lineRule="auto"/>
        <w:rPr>
          <w:rFonts w:ascii="宋体"/>
          <w:b/>
          <w:sz w:val="24"/>
          <w:szCs w:val="24"/>
        </w:rPr>
      </w:pPr>
      <w:r>
        <w:rPr>
          <w:rFonts w:ascii="宋体" w:hint="eastAsia"/>
          <w:sz w:val="24"/>
          <w:szCs w:val="24"/>
        </w:rPr>
        <w:t xml:space="preserve">                                               </w:t>
      </w:r>
      <w:r>
        <w:rPr>
          <w:rFonts w:ascii="宋体" w:hint="eastAsia"/>
          <w:b/>
          <w:sz w:val="24"/>
          <w:szCs w:val="24"/>
        </w:rPr>
        <w:t>信息与电子工程学系教务办、学工办</w:t>
      </w:r>
    </w:p>
    <w:p w:rsidR="00327B5E" w:rsidRDefault="00F60735">
      <w:pPr>
        <w:spacing w:line="360" w:lineRule="auto"/>
        <w:rPr>
          <w:sz w:val="24"/>
          <w:szCs w:val="24"/>
        </w:rPr>
      </w:pPr>
      <w:r>
        <w:rPr>
          <w:rFonts w:ascii="宋体" w:hint="eastAsia"/>
          <w:b/>
          <w:sz w:val="24"/>
          <w:szCs w:val="24"/>
        </w:rPr>
        <w:t xml:space="preserve">                                                           2014</w:t>
      </w:r>
      <w:r>
        <w:rPr>
          <w:rFonts w:ascii="宋体" w:hint="eastAsia"/>
          <w:b/>
          <w:sz w:val="24"/>
          <w:szCs w:val="24"/>
        </w:rPr>
        <w:t>年</w:t>
      </w:r>
      <w:r>
        <w:rPr>
          <w:rFonts w:ascii="宋体" w:hint="eastAsia"/>
          <w:b/>
          <w:sz w:val="24"/>
          <w:szCs w:val="24"/>
        </w:rPr>
        <w:t>1</w:t>
      </w:r>
      <w:r>
        <w:rPr>
          <w:rFonts w:ascii="宋体" w:hint="eastAsia"/>
          <w:b/>
          <w:sz w:val="24"/>
          <w:szCs w:val="24"/>
        </w:rPr>
        <w:t>月</w:t>
      </w:r>
      <w:r>
        <w:rPr>
          <w:rFonts w:ascii="宋体" w:hint="eastAsia"/>
          <w:b/>
          <w:sz w:val="24"/>
          <w:szCs w:val="24"/>
        </w:rPr>
        <w:t>10</w:t>
      </w:r>
      <w:r>
        <w:rPr>
          <w:rFonts w:ascii="宋体" w:hint="eastAsia"/>
          <w:b/>
          <w:sz w:val="24"/>
          <w:szCs w:val="24"/>
        </w:rPr>
        <w:t>日</w:t>
      </w:r>
    </w:p>
    <w:p w:rsidR="00327B5E" w:rsidRDefault="00327B5E">
      <w:pPr>
        <w:rPr>
          <w:rFonts w:hint="eastAsia"/>
          <w:sz w:val="24"/>
          <w:szCs w:val="24"/>
        </w:rPr>
      </w:pPr>
    </w:p>
    <w:p w:rsidR="00F60735" w:rsidRDefault="00F60735">
      <w:pPr>
        <w:rPr>
          <w:rFonts w:hint="eastAsia"/>
          <w:sz w:val="24"/>
          <w:szCs w:val="24"/>
        </w:rPr>
      </w:pPr>
      <w:bookmarkStart w:id="0" w:name="_GoBack"/>
      <w:bookmarkEnd w:id="0"/>
    </w:p>
    <w:p w:rsidR="00F60735" w:rsidRDefault="00F60735">
      <w:pPr>
        <w:rPr>
          <w:rFonts w:hint="eastAsia"/>
          <w:sz w:val="24"/>
          <w:szCs w:val="24"/>
        </w:rPr>
      </w:pPr>
      <w:r>
        <w:rPr>
          <w:rFonts w:hint="eastAsia"/>
          <w:sz w:val="24"/>
          <w:szCs w:val="24"/>
        </w:rPr>
        <w:t>附件见下：</w:t>
      </w:r>
    </w:p>
    <w:p w:rsidR="00F60735" w:rsidRPr="00F60735" w:rsidRDefault="00F60735" w:rsidP="00F60735">
      <w:pPr>
        <w:widowControl/>
        <w:jc w:val="left"/>
        <w:rPr>
          <w:b/>
          <w:sz w:val="28"/>
          <w:szCs w:val="28"/>
        </w:rPr>
      </w:pPr>
      <w:r w:rsidRPr="00F60735">
        <w:rPr>
          <w:rFonts w:hint="eastAsia"/>
          <w:b/>
          <w:sz w:val="28"/>
          <w:szCs w:val="28"/>
        </w:rPr>
        <w:lastRenderedPageBreak/>
        <w:t>附件：</w:t>
      </w:r>
      <w:r w:rsidRPr="00F60735">
        <w:rPr>
          <w:rFonts w:hint="eastAsia"/>
          <w:b/>
          <w:sz w:val="28"/>
          <w:szCs w:val="28"/>
        </w:rPr>
        <w:t xml:space="preserve">          </w:t>
      </w:r>
    </w:p>
    <w:p w:rsidR="00F60735" w:rsidRPr="00F60735" w:rsidRDefault="00F60735" w:rsidP="00F60735">
      <w:pPr>
        <w:jc w:val="center"/>
        <w:rPr>
          <w:b/>
          <w:sz w:val="28"/>
          <w:szCs w:val="28"/>
        </w:rPr>
      </w:pPr>
      <w:r w:rsidRPr="00F60735">
        <w:rPr>
          <w:rFonts w:hint="eastAsia"/>
          <w:b/>
          <w:sz w:val="28"/>
          <w:szCs w:val="28"/>
        </w:rPr>
        <w:t>信电系课程考试成绩录入特殊说明</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980"/>
        <w:gridCol w:w="1980"/>
        <w:gridCol w:w="3060"/>
      </w:tblGrid>
      <w:tr w:rsidR="00F60735" w:rsidRPr="00F60735" w:rsidTr="00A67515">
        <w:tblPrEx>
          <w:tblCellMar>
            <w:top w:w="0" w:type="dxa"/>
            <w:bottom w:w="0" w:type="dxa"/>
          </w:tblCellMar>
        </w:tblPrEx>
        <w:trPr>
          <w:trHeight w:val="460"/>
        </w:trPr>
        <w:tc>
          <w:tcPr>
            <w:tcW w:w="1620" w:type="dxa"/>
            <w:vAlign w:val="center"/>
          </w:tcPr>
          <w:p w:rsidR="00F60735" w:rsidRPr="00F60735" w:rsidRDefault="00F60735" w:rsidP="00F60735">
            <w:pPr>
              <w:spacing w:line="360" w:lineRule="auto"/>
              <w:rPr>
                <w:sz w:val="24"/>
                <w:szCs w:val="24"/>
              </w:rPr>
            </w:pPr>
            <w:r w:rsidRPr="00F60735">
              <w:rPr>
                <w:rFonts w:hint="eastAsia"/>
                <w:sz w:val="24"/>
                <w:szCs w:val="24"/>
              </w:rPr>
              <w:t>课程名称</w:t>
            </w:r>
          </w:p>
        </w:tc>
        <w:tc>
          <w:tcPr>
            <w:tcW w:w="1980" w:type="dxa"/>
            <w:vAlign w:val="center"/>
          </w:tcPr>
          <w:p w:rsidR="00F60735" w:rsidRPr="00F60735" w:rsidRDefault="00F60735" w:rsidP="00F60735">
            <w:pPr>
              <w:spacing w:line="360" w:lineRule="auto"/>
              <w:rPr>
                <w:sz w:val="24"/>
                <w:szCs w:val="24"/>
              </w:rPr>
            </w:pPr>
          </w:p>
        </w:tc>
        <w:tc>
          <w:tcPr>
            <w:tcW w:w="1980" w:type="dxa"/>
            <w:vAlign w:val="center"/>
          </w:tcPr>
          <w:p w:rsidR="00F60735" w:rsidRPr="00F60735" w:rsidRDefault="00F60735" w:rsidP="00F60735">
            <w:pPr>
              <w:spacing w:line="360" w:lineRule="auto"/>
              <w:rPr>
                <w:sz w:val="24"/>
                <w:szCs w:val="24"/>
              </w:rPr>
            </w:pPr>
            <w:r w:rsidRPr="00F60735">
              <w:rPr>
                <w:rFonts w:hint="eastAsia"/>
                <w:sz w:val="24"/>
                <w:szCs w:val="24"/>
              </w:rPr>
              <w:t>任课老师</w:t>
            </w:r>
          </w:p>
        </w:tc>
        <w:tc>
          <w:tcPr>
            <w:tcW w:w="3060" w:type="dxa"/>
            <w:vAlign w:val="center"/>
          </w:tcPr>
          <w:p w:rsidR="00F60735" w:rsidRPr="00F60735" w:rsidRDefault="00F60735" w:rsidP="00F60735">
            <w:pPr>
              <w:spacing w:line="360" w:lineRule="auto"/>
              <w:rPr>
                <w:b/>
                <w:sz w:val="24"/>
                <w:szCs w:val="24"/>
              </w:rPr>
            </w:pPr>
          </w:p>
        </w:tc>
      </w:tr>
      <w:tr w:rsidR="00F60735" w:rsidRPr="00F60735" w:rsidTr="00A67515">
        <w:tblPrEx>
          <w:tblCellMar>
            <w:top w:w="0" w:type="dxa"/>
            <w:bottom w:w="0" w:type="dxa"/>
          </w:tblCellMar>
        </w:tblPrEx>
        <w:trPr>
          <w:trHeight w:val="452"/>
        </w:trPr>
        <w:tc>
          <w:tcPr>
            <w:tcW w:w="1620" w:type="dxa"/>
            <w:vAlign w:val="center"/>
          </w:tcPr>
          <w:p w:rsidR="00F60735" w:rsidRPr="00F60735" w:rsidRDefault="00F60735" w:rsidP="00F60735">
            <w:pPr>
              <w:spacing w:line="360" w:lineRule="auto"/>
              <w:rPr>
                <w:sz w:val="24"/>
                <w:szCs w:val="24"/>
              </w:rPr>
            </w:pPr>
            <w:r w:rsidRPr="00F60735">
              <w:rPr>
                <w:rFonts w:hint="eastAsia"/>
                <w:sz w:val="24"/>
                <w:szCs w:val="24"/>
              </w:rPr>
              <w:t>教学班人数</w:t>
            </w:r>
          </w:p>
        </w:tc>
        <w:tc>
          <w:tcPr>
            <w:tcW w:w="1980" w:type="dxa"/>
            <w:vAlign w:val="center"/>
          </w:tcPr>
          <w:p w:rsidR="00F60735" w:rsidRPr="00F60735" w:rsidRDefault="00F60735" w:rsidP="00F60735">
            <w:pPr>
              <w:spacing w:line="360" w:lineRule="auto"/>
              <w:rPr>
                <w:sz w:val="24"/>
                <w:szCs w:val="24"/>
              </w:rPr>
            </w:pPr>
          </w:p>
        </w:tc>
        <w:tc>
          <w:tcPr>
            <w:tcW w:w="1980" w:type="dxa"/>
            <w:vAlign w:val="center"/>
          </w:tcPr>
          <w:p w:rsidR="00F60735" w:rsidRPr="00F60735" w:rsidRDefault="00F60735" w:rsidP="00F60735">
            <w:pPr>
              <w:spacing w:line="360" w:lineRule="auto"/>
              <w:rPr>
                <w:sz w:val="24"/>
                <w:szCs w:val="24"/>
              </w:rPr>
            </w:pPr>
            <w:r w:rsidRPr="00F60735">
              <w:rPr>
                <w:rFonts w:hint="eastAsia"/>
                <w:sz w:val="24"/>
                <w:szCs w:val="24"/>
              </w:rPr>
              <w:t>实考人数</w:t>
            </w:r>
          </w:p>
        </w:tc>
        <w:tc>
          <w:tcPr>
            <w:tcW w:w="3060" w:type="dxa"/>
            <w:vAlign w:val="center"/>
          </w:tcPr>
          <w:p w:rsidR="00F60735" w:rsidRPr="00F60735" w:rsidRDefault="00F60735" w:rsidP="00F60735">
            <w:pPr>
              <w:spacing w:line="360" w:lineRule="auto"/>
              <w:rPr>
                <w:b/>
                <w:sz w:val="24"/>
                <w:szCs w:val="24"/>
              </w:rPr>
            </w:pPr>
          </w:p>
        </w:tc>
      </w:tr>
      <w:tr w:rsidR="00F60735" w:rsidRPr="00F60735" w:rsidTr="00A67515">
        <w:tblPrEx>
          <w:tblCellMar>
            <w:top w:w="0" w:type="dxa"/>
            <w:bottom w:w="0" w:type="dxa"/>
          </w:tblCellMar>
        </w:tblPrEx>
        <w:trPr>
          <w:trHeight w:val="452"/>
        </w:trPr>
        <w:tc>
          <w:tcPr>
            <w:tcW w:w="1620" w:type="dxa"/>
            <w:vAlign w:val="center"/>
          </w:tcPr>
          <w:p w:rsidR="00F60735" w:rsidRPr="00F60735" w:rsidRDefault="00F60735" w:rsidP="00F60735">
            <w:pPr>
              <w:spacing w:line="360" w:lineRule="auto"/>
              <w:rPr>
                <w:sz w:val="24"/>
                <w:szCs w:val="24"/>
              </w:rPr>
            </w:pPr>
            <w:r w:rsidRPr="00F60735">
              <w:rPr>
                <w:rFonts w:hint="eastAsia"/>
                <w:sz w:val="24"/>
                <w:szCs w:val="24"/>
              </w:rPr>
              <w:t>平均分</w:t>
            </w:r>
          </w:p>
        </w:tc>
        <w:tc>
          <w:tcPr>
            <w:tcW w:w="1980" w:type="dxa"/>
            <w:vAlign w:val="center"/>
          </w:tcPr>
          <w:p w:rsidR="00F60735" w:rsidRPr="00F60735" w:rsidRDefault="00F60735" w:rsidP="00F60735">
            <w:pPr>
              <w:spacing w:line="360" w:lineRule="auto"/>
              <w:rPr>
                <w:sz w:val="24"/>
                <w:szCs w:val="24"/>
              </w:rPr>
            </w:pPr>
          </w:p>
        </w:tc>
        <w:tc>
          <w:tcPr>
            <w:tcW w:w="1980" w:type="dxa"/>
            <w:vAlign w:val="center"/>
          </w:tcPr>
          <w:p w:rsidR="00F60735" w:rsidRPr="00F60735" w:rsidRDefault="00F60735" w:rsidP="00F60735">
            <w:pPr>
              <w:spacing w:line="360" w:lineRule="auto"/>
              <w:rPr>
                <w:sz w:val="24"/>
                <w:szCs w:val="24"/>
              </w:rPr>
            </w:pPr>
            <w:r w:rsidRPr="00F60735">
              <w:rPr>
                <w:rFonts w:hint="eastAsia"/>
                <w:sz w:val="24"/>
                <w:szCs w:val="24"/>
              </w:rPr>
              <w:t>中位线分数</w:t>
            </w:r>
          </w:p>
        </w:tc>
        <w:tc>
          <w:tcPr>
            <w:tcW w:w="3060" w:type="dxa"/>
            <w:vAlign w:val="center"/>
          </w:tcPr>
          <w:p w:rsidR="00F60735" w:rsidRPr="00F60735" w:rsidRDefault="00F60735" w:rsidP="00F60735">
            <w:pPr>
              <w:spacing w:line="360" w:lineRule="auto"/>
              <w:rPr>
                <w:b/>
                <w:sz w:val="24"/>
                <w:szCs w:val="24"/>
              </w:rPr>
            </w:pPr>
          </w:p>
        </w:tc>
      </w:tr>
      <w:tr w:rsidR="00F60735" w:rsidRPr="00F60735" w:rsidTr="00A67515">
        <w:tblPrEx>
          <w:tblCellMar>
            <w:top w:w="0" w:type="dxa"/>
            <w:bottom w:w="0" w:type="dxa"/>
          </w:tblCellMar>
        </w:tblPrEx>
        <w:trPr>
          <w:trHeight w:val="452"/>
        </w:trPr>
        <w:tc>
          <w:tcPr>
            <w:tcW w:w="1620" w:type="dxa"/>
            <w:vAlign w:val="center"/>
          </w:tcPr>
          <w:p w:rsidR="00F60735" w:rsidRPr="00F60735" w:rsidRDefault="00F60735" w:rsidP="00F60735">
            <w:pPr>
              <w:spacing w:line="360" w:lineRule="auto"/>
              <w:rPr>
                <w:sz w:val="24"/>
                <w:szCs w:val="24"/>
              </w:rPr>
            </w:pPr>
            <w:r w:rsidRPr="00F60735">
              <w:rPr>
                <w:rFonts w:hint="eastAsia"/>
                <w:sz w:val="24"/>
                <w:szCs w:val="24"/>
              </w:rPr>
              <w:t>不及格比例</w:t>
            </w:r>
          </w:p>
        </w:tc>
        <w:tc>
          <w:tcPr>
            <w:tcW w:w="1980" w:type="dxa"/>
            <w:vAlign w:val="center"/>
          </w:tcPr>
          <w:p w:rsidR="00F60735" w:rsidRPr="00F60735" w:rsidRDefault="00F60735" w:rsidP="00F60735">
            <w:pPr>
              <w:spacing w:line="360" w:lineRule="auto"/>
              <w:rPr>
                <w:sz w:val="24"/>
                <w:szCs w:val="24"/>
              </w:rPr>
            </w:pPr>
          </w:p>
        </w:tc>
        <w:tc>
          <w:tcPr>
            <w:tcW w:w="1980" w:type="dxa"/>
            <w:vAlign w:val="center"/>
          </w:tcPr>
          <w:p w:rsidR="00F60735" w:rsidRPr="00F60735" w:rsidRDefault="00F60735" w:rsidP="00F60735">
            <w:pPr>
              <w:spacing w:line="360" w:lineRule="auto"/>
              <w:rPr>
                <w:sz w:val="24"/>
                <w:szCs w:val="24"/>
              </w:rPr>
            </w:pPr>
          </w:p>
        </w:tc>
        <w:tc>
          <w:tcPr>
            <w:tcW w:w="3060" w:type="dxa"/>
            <w:vAlign w:val="center"/>
          </w:tcPr>
          <w:p w:rsidR="00F60735" w:rsidRPr="00F60735" w:rsidRDefault="00F60735" w:rsidP="00F60735">
            <w:pPr>
              <w:spacing w:line="360" w:lineRule="auto"/>
              <w:rPr>
                <w:b/>
                <w:sz w:val="24"/>
                <w:szCs w:val="24"/>
              </w:rPr>
            </w:pPr>
          </w:p>
        </w:tc>
      </w:tr>
      <w:tr w:rsidR="00F60735" w:rsidRPr="00F60735" w:rsidTr="00A67515">
        <w:tblPrEx>
          <w:tblCellMar>
            <w:top w:w="0" w:type="dxa"/>
            <w:bottom w:w="0" w:type="dxa"/>
          </w:tblCellMar>
        </w:tblPrEx>
        <w:trPr>
          <w:trHeight w:val="5743"/>
        </w:trPr>
        <w:tc>
          <w:tcPr>
            <w:tcW w:w="8640" w:type="dxa"/>
            <w:gridSpan w:val="4"/>
            <w:vAlign w:val="center"/>
          </w:tcPr>
          <w:p w:rsidR="00F60735" w:rsidRPr="00F60735" w:rsidRDefault="00F60735" w:rsidP="00F60735">
            <w:pPr>
              <w:rPr>
                <w:sz w:val="24"/>
                <w:szCs w:val="24"/>
              </w:rPr>
            </w:pPr>
            <w:r w:rsidRPr="00F60735">
              <w:rPr>
                <w:rFonts w:hint="eastAsia"/>
                <w:sz w:val="24"/>
                <w:szCs w:val="24"/>
              </w:rPr>
              <w:t>特殊情况的说明：</w:t>
            </w:r>
          </w:p>
          <w:p w:rsidR="00F60735" w:rsidRPr="00F60735" w:rsidRDefault="00F60735" w:rsidP="00F60735">
            <w:pPr>
              <w:ind w:firstLineChars="1400" w:firstLine="3360"/>
              <w:rPr>
                <w:sz w:val="24"/>
                <w:szCs w:val="24"/>
              </w:rPr>
            </w:pPr>
          </w:p>
          <w:p w:rsidR="00F60735" w:rsidRPr="00F60735" w:rsidRDefault="00F60735" w:rsidP="00F60735">
            <w:pPr>
              <w:ind w:firstLineChars="1400" w:firstLine="3360"/>
              <w:rPr>
                <w:sz w:val="24"/>
                <w:szCs w:val="24"/>
              </w:rPr>
            </w:pPr>
          </w:p>
          <w:p w:rsidR="00F60735" w:rsidRPr="00F60735" w:rsidRDefault="00F60735" w:rsidP="00F60735">
            <w:pPr>
              <w:ind w:firstLineChars="1400" w:firstLine="3360"/>
              <w:rPr>
                <w:sz w:val="24"/>
                <w:szCs w:val="24"/>
              </w:rPr>
            </w:pPr>
          </w:p>
          <w:p w:rsidR="00F60735" w:rsidRPr="00F60735" w:rsidRDefault="00F60735" w:rsidP="00F60735">
            <w:pPr>
              <w:ind w:firstLineChars="1400" w:firstLine="3360"/>
              <w:rPr>
                <w:sz w:val="24"/>
                <w:szCs w:val="24"/>
              </w:rPr>
            </w:pPr>
          </w:p>
          <w:p w:rsidR="00F60735" w:rsidRPr="00F60735" w:rsidRDefault="00F60735" w:rsidP="00F60735">
            <w:pPr>
              <w:ind w:firstLineChars="1400" w:firstLine="3360"/>
              <w:rPr>
                <w:sz w:val="24"/>
                <w:szCs w:val="24"/>
              </w:rPr>
            </w:pPr>
          </w:p>
          <w:p w:rsidR="00F60735" w:rsidRPr="00F60735" w:rsidRDefault="00F60735" w:rsidP="00F60735">
            <w:pPr>
              <w:ind w:firstLineChars="1400" w:firstLine="3360"/>
              <w:rPr>
                <w:sz w:val="24"/>
                <w:szCs w:val="24"/>
              </w:rPr>
            </w:pPr>
          </w:p>
          <w:p w:rsidR="00F60735" w:rsidRPr="00F60735" w:rsidRDefault="00F60735" w:rsidP="00F60735">
            <w:pPr>
              <w:ind w:firstLineChars="1400" w:firstLine="3360"/>
              <w:rPr>
                <w:sz w:val="24"/>
                <w:szCs w:val="24"/>
              </w:rPr>
            </w:pPr>
          </w:p>
          <w:p w:rsidR="00F60735" w:rsidRPr="00F60735" w:rsidRDefault="00F60735" w:rsidP="00F60735">
            <w:pPr>
              <w:ind w:firstLineChars="1400" w:firstLine="3360"/>
              <w:rPr>
                <w:sz w:val="24"/>
                <w:szCs w:val="24"/>
              </w:rPr>
            </w:pPr>
          </w:p>
          <w:p w:rsidR="00F60735" w:rsidRPr="00F60735" w:rsidRDefault="00F60735" w:rsidP="00F60735">
            <w:pPr>
              <w:ind w:firstLineChars="1400" w:firstLine="3360"/>
              <w:rPr>
                <w:sz w:val="24"/>
                <w:szCs w:val="24"/>
              </w:rPr>
            </w:pPr>
          </w:p>
          <w:p w:rsidR="00F60735" w:rsidRPr="00F60735" w:rsidRDefault="00F60735" w:rsidP="00F60735">
            <w:pPr>
              <w:ind w:firstLineChars="1400" w:firstLine="3360"/>
              <w:rPr>
                <w:sz w:val="24"/>
                <w:szCs w:val="24"/>
              </w:rPr>
            </w:pPr>
          </w:p>
          <w:p w:rsidR="00F60735" w:rsidRPr="00F60735" w:rsidRDefault="00F60735" w:rsidP="00F60735">
            <w:pPr>
              <w:ind w:firstLineChars="1400" w:firstLine="3360"/>
              <w:rPr>
                <w:sz w:val="24"/>
                <w:szCs w:val="24"/>
              </w:rPr>
            </w:pPr>
          </w:p>
          <w:p w:rsidR="00F60735" w:rsidRPr="00F60735" w:rsidRDefault="00F60735" w:rsidP="00F60735">
            <w:pPr>
              <w:ind w:firstLineChars="1400" w:firstLine="3360"/>
              <w:rPr>
                <w:sz w:val="24"/>
                <w:szCs w:val="24"/>
              </w:rPr>
            </w:pPr>
          </w:p>
          <w:p w:rsidR="00F60735" w:rsidRPr="00F60735" w:rsidRDefault="00F60735" w:rsidP="00F60735">
            <w:pPr>
              <w:ind w:firstLineChars="1400" w:firstLine="3360"/>
              <w:rPr>
                <w:sz w:val="24"/>
                <w:szCs w:val="24"/>
              </w:rPr>
            </w:pPr>
          </w:p>
          <w:p w:rsidR="00F60735" w:rsidRPr="00F60735" w:rsidRDefault="00F60735" w:rsidP="00F60735">
            <w:pPr>
              <w:ind w:firstLineChars="1400" w:firstLine="3360"/>
              <w:rPr>
                <w:sz w:val="24"/>
                <w:szCs w:val="24"/>
              </w:rPr>
            </w:pPr>
          </w:p>
          <w:p w:rsidR="00F60735" w:rsidRPr="00F60735" w:rsidRDefault="00F60735" w:rsidP="00F60735">
            <w:pPr>
              <w:ind w:firstLineChars="1400" w:firstLine="3360"/>
              <w:rPr>
                <w:sz w:val="24"/>
                <w:szCs w:val="24"/>
              </w:rPr>
            </w:pPr>
          </w:p>
          <w:p w:rsidR="00F60735" w:rsidRPr="00F60735" w:rsidRDefault="00F60735" w:rsidP="00F60735">
            <w:pPr>
              <w:ind w:firstLineChars="1400" w:firstLine="3360"/>
              <w:rPr>
                <w:sz w:val="24"/>
                <w:szCs w:val="24"/>
              </w:rPr>
            </w:pPr>
          </w:p>
          <w:p w:rsidR="00F60735" w:rsidRPr="00F60735" w:rsidRDefault="00F60735" w:rsidP="00F60735">
            <w:pPr>
              <w:ind w:firstLineChars="1400" w:firstLine="3360"/>
              <w:rPr>
                <w:sz w:val="24"/>
                <w:szCs w:val="24"/>
              </w:rPr>
            </w:pPr>
          </w:p>
          <w:p w:rsidR="00F60735" w:rsidRPr="00F60735" w:rsidRDefault="00F60735" w:rsidP="00F60735">
            <w:pPr>
              <w:ind w:firstLineChars="1400" w:firstLine="3360"/>
              <w:rPr>
                <w:sz w:val="24"/>
                <w:szCs w:val="24"/>
              </w:rPr>
            </w:pPr>
          </w:p>
          <w:p w:rsidR="00F60735" w:rsidRPr="00F60735" w:rsidRDefault="00F60735" w:rsidP="00F60735">
            <w:pPr>
              <w:ind w:firstLineChars="1400" w:firstLine="3360"/>
              <w:rPr>
                <w:sz w:val="24"/>
                <w:szCs w:val="24"/>
              </w:rPr>
            </w:pPr>
          </w:p>
          <w:p w:rsidR="00F60735" w:rsidRPr="00F60735" w:rsidRDefault="00F60735" w:rsidP="00F60735">
            <w:pPr>
              <w:ind w:firstLineChars="1400" w:firstLine="3360"/>
              <w:rPr>
                <w:sz w:val="24"/>
                <w:szCs w:val="24"/>
              </w:rPr>
            </w:pPr>
          </w:p>
          <w:p w:rsidR="00F60735" w:rsidRPr="00F60735" w:rsidRDefault="00F60735" w:rsidP="00F60735">
            <w:pPr>
              <w:ind w:firstLineChars="1400" w:firstLine="3360"/>
              <w:rPr>
                <w:sz w:val="24"/>
                <w:szCs w:val="24"/>
              </w:rPr>
            </w:pPr>
          </w:p>
          <w:p w:rsidR="00F60735" w:rsidRPr="00F60735" w:rsidRDefault="00F60735" w:rsidP="00F60735">
            <w:pPr>
              <w:ind w:firstLineChars="1400" w:firstLine="3360"/>
              <w:rPr>
                <w:sz w:val="24"/>
                <w:szCs w:val="24"/>
              </w:rPr>
            </w:pPr>
          </w:p>
          <w:p w:rsidR="00F60735" w:rsidRPr="00F60735" w:rsidRDefault="00F60735" w:rsidP="00F60735">
            <w:pPr>
              <w:ind w:firstLineChars="1400" w:firstLine="3360"/>
              <w:rPr>
                <w:sz w:val="24"/>
                <w:szCs w:val="24"/>
              </w:rPr>
            </w:pPr>
          </w:p>
          <w:p w:rsidR="00F60735" w:rsidRPr="00F60735" w:rsidRDefault="00F60735" w:rsidP="00F60735">
            <w:pPr>
              <w:ind w:firstLineChars="1400" w:firstLine="3360"/>
              <w:rPr>
                <w:sz w:val="24"/>
                <w:szCs w:val="24"/>
              </w:rPr>
            </w:pPr>
          </w:p>
          <w:p w:rsidR="00F60735" w:rsidRPr="00F60735" w:rsidRDefault="00F60735" w:rsidP="00F60735">
            <w:pPr>
              <w:ind w:firstLineChars="1400" w:firstLine="3360"/>
              <w:rPr>
                <w:sz w:val="24"/>
                <w:szCs w:val="24"/>
              </w:rPr>
            </w:pPr>
          </w:p>
          <w:p w:rsidR="00F60735" w:rsidRPr="00F60735" w:rsidRDefault="00F60735" w:rsidP="00F60735">
            <w:pPr>
              <w:ind w:firstLineChars="1400" w:firstLine="3360"/>
              <w:rPr>
                <w:sz w:val="24"/>
                <w:szCs w:val="24"/>
              </w:rPr>
            </w:pPr>
          </w:p>
          <w:p w:rsidR="00F60735" w:rsidRPr="00F60735" w:rsidRDefault="00F60735" w:rsidP="00F60735">
            <w:pPr>
              <w:ind w:firstLineChars="1400" w:firstLine="3360"/>
              <w:rPr>
                <w:sz w:val="24"/>
                <w:szCs w:val="24"/>
              </w:rPr>
            </w:pPr>
          </w:p>
          <w:p w:rsidR="00F60735" w:rsidRPr="00F60735" w:rsidRDefault="00F60735" w:rsidP="00F60735">
            <w:pPr>
              <w:ind w:firstLineChars="1400" w:firstLine="3360"/>
              <w:rPr>
                <w:sz w:val="24"/>
                <w:szCs w:val="24"/>
              </w:rPr>
            </w:pPr>
          </w:p>
          <w:p w:rsidR="00F60735" w:rsidRPr="00F60735" w:rsidRDefault="00F60735" w:rsidP="00F60735">
            <w:pPr>
              <w:ind w:firstLineChars="2200" w:firstLine="5280"/>
              <w:rPr>
                <w:sz w:val="24"/>
                <w:szCs w:val="24"/>
              </w:rPr>
            </w:pPr>
            <w:r w:rsidRPr="00F60735">
              <w:rPr>
                <w:rFonts w:hint="eastAsia"/>
                <w:sz w:val="24"/>
                <w:szCs w:val="24"/>
              </w:rPr>
              <w:t>申请人：</w:t>
            </w:r>
          </w:p>
          <w:p w:rsidR="00F60735" w:rsidRPr="00F60735" w:rsidRDefault="00F60735" w:rsidP="00F60735">
            <w:pPr>
              <w:ind w:firstLineChars="1600" w:firstLine="3840"/>
              <w:rPr>
                <w:sz w:val="24"/>
                <w:szCs w:val="24"/>
              </w:rPr>
            </w:pPr>
          </w:p>
          <w:p w:rsidR="00F60735" w:rsidRPr="00F60735" w:rsidRDefault="00F60735" w:rsidP="00F60735">
            <w:pPr>
              <w:ind w:firstLineChars="1400" w:firstLine="3360"/>
              <w:rPr>
                <w:sz w:val="24"/>
                <w:szCs w:val="24"/>
              </w:rPr>
            </w:pPr>
            <w:r w:rsidRPr="00F60735">
              <w:rPr>
                <w:sz w:val="24"/>
                <w:szCs w:val="24"/>
              </w:rPr>
              <w:t xml:space="preserve">                     </w:t>
            </w:r>
            <w:r w:rsidRPr="00F60735">
              <w:rPr>
                <w:rFonts w:hint="eastAsia"/>
                <w:sz w:val="24"/>
                <w:szCs w:val="24"/>
              </w:rPr>
              <w:t>年</w:t>
            </w:r>
            <w:r w:rsidRPr="00F60735">
              <w:rPr>
                <w:sz w:val="24"/>
                <w:szCs w:val="24"/>
              </w:rPr>
              <w:t xml:space="preserve">    </w:t>
            </w:r>
            <w:r w:rsidRPr="00F60735">
              <w:rPr>
                <w:rFonts w:hint="eastAsia"/>
                <w:sz w:val="24"/>
                <w:szCs w:val="24"/>
              </w:rPr>
              <w:t>月</w:t>
            </w:r>
            <w:r w:rsidRPr="00F60735">
              <w:rPr>
                <w:sz w:val="24"/>
                <w:szCs w:val="24"/>
              </w:rPr>
              <w:t xml:space="preserve">    </w:t>
            </w:r>
            <w:r w:rsidRPr="00F60735">
              <w:rPr>
                <w:rFonts w:hint="eastAsia"/>
                <w:sz w:val="24"/>
                <w:szCs w:val="24"/>
              </w:rPr>
              <w:t>日</w:t>
            </w:r>
          </w:p>
        </w:tc>
      </w:tr>
    </w:tbl>
    <w:p w:rsidR="00F60735" w:rsidRDefault="00F60735">
      <w:pPr>
        <w:rPr>
          <w:rFonts w:hint="eastAsia"/>
          <w:sz w:val="24"/>
          <w:szCs w:val="24"/>
        </w:rPr>
      </w:pPr>
    </w:p>
    <w:p w:rsidR="00F60735" w:rsidRDefault="00F60735">
      <w:pPr>
        <w:rPr>
          <w:sz w:val="24"/>
          <w:szCs w:val="24"/>
        </w:rPr>
      </w:pPr>
    </w:p>
    <w:sectPr w:rsidR="00F60735">
      <w:pgSz w:w="11906" w:h="16838"/>
      <w:pgMar w:top="1134" w:right="1134" w:bottom="1134" w:left="1134"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7B5E"/>
    <w:rsid w:val="00327B5E"/>
    <w:rsid w:val="00F60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uiPriority="35" w:qFormat="1"/>
    <w:lsdException w:name="annotation reference" w:uiPriority="99"/>
    <w:lsdException w:name="Title" w:semiHidden="0" w:uiPriority="10" w:unhideWhenUsed="0" w:qFormat="1"/>
    <w:lsdException w:name="Default Paragraph Font" w:uiPriority="1"/>
    <w:lsdException w:name="Subtitle" w:semiHidden="0" w:uiPriority="11" w:unhideWhenUsed="0" w:qFormat="1"/>
    <w:lsdException w:name="Body Text Indent 2" w:unhideWhenUsed="0"/>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Pr>
      <w:b/>
      <w:bCs/>
    </w:rPr>
  </w:style>
  <w:style w:type="paragraph" w:styleId="a4">
    <w:name w:val="annotation text"/>
    <w:basedOn w:val="a"/>
    <w:link w:val="Char0"/>
    <w:uiPriority w:val="99"/>
    <w:semiHidden/>
    <w:unhideWhenUsed/>
    <w:pPr>
      <w:jc w:val="left"/>
    </w:pPr>
  </w:style>
  <w:style w:type="paragraph" w:styleId="2">
    <w:name w:val="Body Text Indent 2"/>
    <w:basedOn w:val="a"/>
    <w:link w:val="2Char"/>
    <w:semiHidden/>
    <w:pPr>
      <w:adjustRightInd w:val="0"/>
      <w:snapToGrid w:val="0"/>
      <w:spacing w:before="100" w:beforeAutospacing="1" w:after="100" w:afterAutospacing="1" w:line="360" w:lineRule="auto"/>
      <w:ind w:firstLineChars="200" w:firstLine="420"/>
    </w:pPr>
    <w:rPr>
      <w:rFonts w:ascii="宋体" w:hAnsi="Times New Roman"/>
      <w:szCs w:val="30"/>
    </w:rPr>
  </w:style>
  <w:style w:type="paragraph" w:styleId="a5">
    <w:name w:val="Balloon Text"/>
    <w:basedOn w:val="a"/>
    <w:link w:val="Char1"/>
    <w:uiPriority w:val="99"/>
    <w:semiHidden/>
    <w:unhideWhenUsed/>
    <w:rPr>
      <w:sz w:val="18"/>
      <w:szCs w:val="18"/>
    </w:rPr>
  </w:style>
  <w:style w:type="character" w:styleId="a6">
    <w:name w:val="annotation reference"/>
    <w:uiPriority w:val="99"/>
    <w:semiHidden/>
    <w:unhideWhenUsed/>
    <w:rPr>
      <w:sz w:val="21"/>
      <w:szCs w:val="21"/>
    </w:rPr>
  </w:style>
  <w:style w:type="character" w:customStyle="1" w:styleId="2Char">
    <w:name w:val="正文文本缩进 2 Char"/>
    <w:link w:val="2"/>
    <w:semiHidden/>
    <w:rPr>
      <w:rFonts w:ascii="宋体" w:eastAsia="宋体" w:hAnsi="Times New Roman" w:cs="Times New Roman"/>
      <w:szCs w:val="30"/>
    </w:rPr>
  </w:style>
  <w:style w:type="character" w:customStyle="1" w:styleId="Char0">
    <w:name w:val="批注文字 Char"/>
    <w:basedOn w:val="a0"/>
    <w:link w:val="a4"/>
    <w:uiPriority w:val="99"/>
    <w:semiHidden/>
  </w:style>
  <w:style w:type="character" w:customStyle="1" w:styleId="Char">
    <w:name w:val="批注主题 Char"/>
    <w:link w:val="a3"/>
    <w:uiPriority w:val="99"/>
    <w:semiHidden/>
    <w:rPr>
      <w:b/>
      <w:bCs/>
    </w:rPr>
  </w:style>
  <w:style w:type="character" w:customStyle="1" w:styleId="Char1">
    <w:name w:val="批注框文本 Char"/>
    <w:link w:val="a5"/>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195</Words>
  <Characters>1118</Characters>
  <Application>Microsoft Office Word</Application>
  <DocSecurity>0</DocSecurity>
  <Lines>9</Lines>
  <Paragraphs>2</Paragraphs>
  <ScaleCrop>false</ScaleCrop>
  <Company>zju</Company>
  <LinksUpToDate>false</LinksUpToDate>
  <CharactersWithSpaces>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信电系关于进一步落实课程考核管理办法的通知</dc:title>
  <dc:creator>wyf</dc:creator>
  <cp:lastModifiedBy>XuRong</cp:lastModifiedBy>
  <cp:revision>1</cp:revision>
  <dcterms:created xsi:type="dcterms:W3CDTF">2014-01-07T01:18:00Z</dcterms:created>
  <dcterms:modified xsi:type="dcterms:W3CDTF">2014-03-25T03:39:00Z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