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8558D" w14:textId="77777777" w:rsidR="00870EF7" w:rsidRDefault="00A15C35">
      <w:pPr>
        <w:spacing w:line="800" w:lineRule="exact"/>
        <w:jc w:val="center"/>
        <w:rPr>
          <w:rFonts w:asciiTheme="minorEastAsia" w:eastAsiaTheme="minorEastAsia" w:hAnsiTheme="minorEastAsia"/>
          <w:b/>
          <w:sz w:val="28"/>
        </w:rPr>
      </w:pPr>
      <w:r>
        <w:rPr>
          <w:rFonts w:asciiTheme="minorEastAsia" w:eastAsiaTheme="minorEastAsia" w:hAnsiTheme="minorEastAsia" w:hint="eastAsia"/>
          <w:b/>
          <w:sz w:val="28"/>
        </w:rPr>
        <w:t>高质量自主培养“电磁空间一体化”卡脖子技术国际一流创新人才</w:t>
      </w:r>
    </w:p>
    <w:p w14:paraId="3A76A763" w14:textId="77777777" w:rsidR="00870EF7" w:rsidRDefault="00A15C35">
      <w:pPr>
        <w:spacing w:line="800" w:lineRule="exact"/>
        <w:jc w:val="center"/>
        <w:rPr>
          <w:rFonts w:asciiTheme="minorEastAsia" w:eastAsiaTheme="minorEastAsia" w:hAnsiTheme="minorEastAsia"/>
          <w:spacing w:val="-10"/>
          <w:kern w:val="0"/>
          <w:sz w:val="32"/>
          <w:szCs w:val="32"/>
        </w:rPr>
      </w:pPr>
      <w:r>
        <w:rPr>
          <w:rFonts w:asciiTheme="minorEastAsia" w:eastAsiaTheme="minorEastAsia" w:hAnsiTheme="minorEastAsia" w:hint="eastAsia"/>
          <w:b/>
          <w:sz w:val="32"/>
          <w:szCs w:val="32"/>
        </w:rPr>
        <w:t>成 果 报 告</w:t>
      </w:r>
    </w:p>
    <w:p w14:paraId="75005E66" w14:textId="77777777" w:rsidR="00870EF7" w:rsidRDefault="00870EF7">
      <w:pPr>
        <w:pStyle w:val="ab"/>
        <w:spacing w:line="360" w:lineRule="auto"/>
        <w:ind w:leftChars="-1" w:left="-2" w:firstLine="440"/>
        <w:rPr>
          <w:rFonts w:asciiTheme="minorEastAsia" w:eastAsiaTheme="minorEastAsia" w:hAnsiTheme="minorEastAsia"/>
          <w:spacing w:val="-10"/>
          <w:kern w:val="0"/>
          <w:sz w:val="24"/>
        </w:rPr>
      </w:pPr>
    </w:p>
    <w:p w14:paraId="2A325C4D" w14:textId="77777777"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电磁空间一体化”是信息化发展之必然趋势，是大国博弈和科技竞争必争之战略制高点，是我国在军用电子领域实现创新超越的重大战略机遇。超前部署电磁空间一体化基础理论与关键技术等自主科技创新的研究和领军人才的培养，必将提升我国在电磁空间一体化领域的自主创新能力，抢占未来信息化战争的科技创新制高点，加快推进我国国防和军队的现代化建设。</w:t>
      </w:r>
    </w:p>
    <w:p w14:paraId="690BC984" w14:textId="7C4F9B74"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“电磁空间一体化”包括未来电磁、智能通信、量子芯片</w:t>
      </w:r>
      <w:r w:rsidR="005F62E6">
        <w:rPr>
          <w:rFonts w:asciiTheme="minorEastAsia" w:eastAsiaTheme="minorEastAsia" w:hAnsiTheme="minorEastAsia" w:hint="eastAsia"/>
          <w:spacing w:val="-10"/>
          <w:kern w:val="0"/>
          <w:sz w:val="24"/>
        </w:rPr>
        <w:t>等重要领域</w:t>
      </w:r>
      <w:r>
        <w:rPr>
          <w:rFonts w:asciiTheme="minorEastAsia" w:eastAsiaTheme="minorEastAsia" w:hAnsiTheme="minorEastAsia" w:hint="eastAsia"/>
          <w:spacing w:val="-10"/>
          <w:kern w:val="0"/>
          <w:sz w:val="24"/>
        </w:rPr>
        <w:t>，是引领这些领域的民生经济和生命健康产品创新性可持续发展的新质生产力。</w:t>
      </w:r>
    </w:p>
    <w:p w14:paraId="043EBB1A" w14:textId="4ABE4624" w:rsidR="00870EF7" w:rsidRPr="00F9127C" w:rsidRDefault="00A15C35">
      <w:pPr>
        <w:pStyle w:val="ab"/>
        <w:spacing w:line="360" w:lineRule="auto"/>
        <w:ind w:leftChars="-1" w:left="-2" w:firstLine="440"/>
        <w:rPr>
          <w:rFonts w:ascii="宋体" w:hAnsi="宋体"/>
          <w:spacing w:val="-10"/>
          <w:kern w:val="0"/>
          <w:sz w:val="24"/>
        </w:rPr>
      </w:pPr>
      <w:r w:rsidRPr="00F9127C">
        <w:rPr>
          <w:rFonts w:ascii="宋体" w:hAnsi="宋体" w:hint="eastAsia"/>
          <w:spacing w:val="-10"/>
          <w:kern w:val="0"/>
          <w:sz w:val="24"/>
        </w:rPr>
        <w:t>本成果针对束缚研究生培养的若干问题，探索研究破解这些问题的举措，并在研究生培养中得到成功实践。本成果瞄准与信息化战争、民生经济与生命健康等领域密切相关的“电磁空间一体化”</w:t>
      </w:r>
      <w:r w:rsidRPr="00F9127C">
        <w:rPr>
          <w:rFonts w:ascii="宋体" w:hAnsi="宋体" w:cs="微软雅黑" w:hint="eastAsia"/>
          <w:b/>
          <w:bCs/>
          <w:spacing w:val="-10"/>
          <w:kern w:val="0"/>
          <w:sz w:val="24"/>
        </w:rPr>
        <w:t>卡脖子技术</w:t>
      </w:r>
      <w:r w:rsidRPr="00F9127C">
        <w:rPr>
          <w:rFonts w:ascii="宋体" w:hAnsi="宋体" w:hint="eastAsia"/>
          <w:spacing w:val="-10"/>
          <w:kern w:val="0"/>
          <w:sz w:val="24"/>
        </w:rPr>
        <w:t>，将相关举措用于研究生培养实践，</w:t>
      </w:r>
      <w:r w:rsidRPr="00F9127C">
        <w:rPr>
          <w:rFonts w:ascii="宋体" w:hAnsi="宋体" w:cs="微软雅黑" w:hint="eastAsia"/>
          <w:b/>
          <w:bCs/>
          <w:spacing w:val="-10"/>
          <w:kern w:val="0"/>
          <w:sz w:val="24"/>
        </w:rPr>
        <w:t>打通</w:t>
      </w:r>
      <w:r w:rsidRPr="00F9127C">
        <w:rPr>
          <w:rFonts w:ascii="宋体" w:hAnsi="宋体" w:hint="eastAsia"/>
          <w:spacing w:val="-10"/>
          <w:kern w:val="0"/>
          <w:sz w:val="24"/>
        </w:rPr>
        <w:t>了研究生培养过程中的部分</w:t>
      </w:r>
      <w:r w:rsidRPr="00F9127C">
        <w:rPr>
          <w:rFonts w:ascii="宋体" w:hAnsi="宋体" w:cs="微软雅黑" w:hint="eastAsia"/>
          <w:b/>
          <w:bCs/>
          <w:spacing w:val="-10"/>
          <w:kern w:val="0"/>
          <w:sz w:val="24"/>
        </w:rPr>
        <w:t>堵点和卡点</w:t>
      </w:r>
      <w:r w:rsidRPr="00F9127C">
        <w:rPr>
          <w:rFonts w:ascii="宋体" w:hAnsi="宋体" w:hint="eastAsia"/>
          <w:spacing w:val="-10"/>
          <w:kern w:val="0"/>
          <w:sz w:val="24"/>
        </w:rPr>
        <w:t>，为高质量</w:t>
      </w:r>
      <w:r w:rsidRPr="00F9127C">
        <w:rPr>
          <w:rFonts w:ascii="宋体" w:hAnsi="宋体" w:cs="微软雅黑" w:hint="eastAsia"/>
          <w:b/>
          <w:bCs/>
          <w:spacing w:val="-10"/>
          <w:kern w:val="0"/>
          <w:sz w:val="24"/>
        </w:rPr>
        <w:t>自主培养</w:t>
      </w:r>
      <w:r w:rsidRPr="00F9127C">
        <w:rPr>
          <w:rFonts w:ascii="宋体" w:hAnsi="宋体" w:hint="eastAsia"/>
          <w:spacing w:val="-10"/>
          <w:kern w:val="0"/>
          <w:sz w:val="24"/>
        </w:rPr>
        <w:t>国家战略急需的</w:t>
      </w:r>
      <w:r w:rsidRPr="00F9127C">
        <w:rPr>
          <w:rFonts w:ascii="宋体" w:hAnsi="宋体" w:cs="微软雅黑" w:hint="eastAsia"/>
          <w:b/>
          <w:bCs/>
          <w:spacing w:val="-10"/>
          <w:kern w:val="0"/>
          <w:sz w:val="24"/>
        </w:rPr>
        <w:t>国际一流创新人才</w:t>
      </w:r>
      <w:r w:rsidRPr="00F9127C">
        <w:rPr>
          <w:rFonts w:ascii="宋体" w:hAnsi="宋体" w:hint="eastAsia"/>
          <w:spacing w:val="-10"/>
          <w:kern w:val="0"/>
          <w:sz w:val="24"/>
        </w:rPr>
        <w:t>，走出了一条研究生培养的新路子。</w:t>
      </w:r>
    </w:p>
    <w:p w14:paraId="759C885E" w14:textId="77777777" w:rsidR="00870EF7" w:rsidRDefault="00A15C35">
      <w:pPr>
        <w:pStyle w:val="ab"/>
        <w:ind w:leftChars="-1" w:left="-2" w:firstLineChars="0" w:firstLine="0"/>
        <w:rPr>
          <w:rFonts w:asciiTheme="minorEastAsia" w:eastAsiaTheme="minorEastAsia" w:hAnsiTheme="minorEastAsia"/>
          <w:spacing w:val="-10"/>
          <w:kern w:val="0"/>
          <w:sz w:val="28"/>
          <w:szCs w:val="28"/>
        </w:rPr>
      </w:pPr>
      <w:r>
        <w:rPr>
          <w:rFonts w:asciiTheme="minorEastAsia" w:eastAsiaTheme="minorEastAsia" w:hAnsiTheme="minorEastAsia" w:hint="eastAsia"/>
          <w:b/>
          <w:bCs/>
          <w:spacing w:val="-10"/>
          <w:kern w:val="0"/>
          <w:sz w:val="28"/>
          <w:szCs w:val="28"/>
        </w:rPr>
        <w:t xml:space="preserve">⒈ </w:t>
      </w:r>
      <w:r>
        <w:rPr>
          <w:rFonts w:asciiTheme="minorEastAsia" w:eastAsiaTheme="minorEastAsia" w:hAnsiTheme="minorEastAsia" w:hint="eastAsia"/>
          <w:spacing w:val="-10"/>
          <w:kern w:val="0"/>
          <w:sz w:val="28"/>
          <w:szCs w:val="28"/>
        </w:rPr>
        <w:t>主要解决的研究生教育实践问题</w:t>
      </w:r>
    </w:p>
    <w:p w14:paraId="112879A2" w14:textId="77777777"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传统的研究生课程体系偏重理论知识，研究方法与工程素养等方面的课程不多，实践环节较弱，解决国家战略急需方面的知识储备不足，对研究生服务国家战略的方向引导不够，阻碍了培养国家战略急需的国际一流创新人才。</w:t>
      </w:r>
    </w:p>
    <w:p w14:paraId="58CEFC83" w14:textId="0AB5726C"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本成果主要研究并实施破解束缚研究生培养过程中的服务国家战略急需的引导、知识储备、能力锻炼、国际竞争力提升等堵点和卡点的方法与举措，主要</w:t>
      </w:r>
      <w:r w:rsidR="005F62E6">
        <w:rPr>
          <w:rFonts w:asciiTheme="minorEastAsia" w:eastAsiaTheme="minorEastAsia" w:hAnsiTheme="minorEastAsia" w:hint="eastAsia"/>
          <w:spacing w:val="-10"/>
          <w:kern w:val="0"/>
          <w:sz w:val="24"/>
        </w:rPr>
        <w:t>包括</w:t>
      </w:r>
      <w:r>
        <w:rPr>
          <w:rFonts w:asciiTheme="minorEastAsia" w:eastAsiaTheme="minorEastAsia" w:hAnsiTheme="minorEastAsia" w:hint="eastAsia"/>
          <w:spacing w:val="-10"/>
          <w:kern w:val="0"/>
          <w:sz w:val="24"/>
        </w:rPr>
        <w:t>以下3个研究生教育实践问题：</w:t>
      </w:r>
    </w:p>
    <w:p w14:paraId="17BA246E" w14:textId="77777777" w:rsidR="00870EF7" w:rsidRDefault="00A15C35">
      <w:pPr>
        <w:spacing w:line="360" w:lineRule="exact"/>
        <w:ind w:firstLineChars="200" w:firstLine="480"/>
        <w:rPr>
          <w:rFonts w:ascii="仿宋_GB2312" w:eastAsia="仿宋_GB2312"/>
          <w:sz w:val="24"/>
        </w:rPr>
      </w:pPr>
      <w:r>
        <w:rPr>
          <w:rFonts w:ascii="仿宋_GB2312" w:eastAsia="仿宋_GB2312"/>
          <w:sz w:val="24"/>
        </w:rPr>
        <w:t>①</w:t>
      </w:r>
      <w:r>
        <w:rPr>
          <w:rFonts w:ascii="仿宋_GB2312" w:eastAsia="仿宋_GB2312" w:hint="eastAsia"/>
          <w:sz w:val="24"/>
        </w:rPr>
        <w:t>服务国家战略的引导不足、科研氛围的学科壁垒局限，不利于研究生职业生涯的发展和创新意识的激发；</w:t>
      </w:r>
    </w:p>
    <w:p w14:paraId="5B144695" w14:textId="77777777" w:rsidR="00870EF7" w:rsidRDefault="00A15C35" w:rsidP="005F62E6">
      <w:pPr>
        <w:pStyle w:val="ab"/>
        <w:spacing w:line="360" w:lineRule="exact"/>
        <w:ind w:leftChars="-1" w:left="-2" w:firstLine="480"/>
        <w:rPr>
          <w:rFonts w:asciiTheme="minorEastAsia" w:eastAsiaTheme="minorEastAsia" w:hAnsiTheme="minorEastAsia"/>
          <w:spacing w:val="-10"/>
          <w:kern w:val="0"/>
          <w:sz w:val="24"/>
        </w:rPr>
      </w:pPr>
      <w:r>
        <w:rPr>
          <w:rFonts w:ascii="仿宋_GB2312" w:eastAsia="仿宋_GB2312"/>
          <w:sz w:val="24"/>
        </w:rPr>
        <w:t>②</w:t>
      </w:r>
      <w:r>
        <w:rPr>
          <w:rFonts w:ascii="仿宋_GB2312" w:eastAsia="仿宋_GB2312" w:hint="eastAsia"/>
          <w:sz w:val="24"/>
        </w:rPr>
        <w:t>解决国际前沿与国家建设重要“真问题”的磨练不够充分，不利于研究生提升素质能力、获得创新成果；</w:t>
      </w:r>
    </w:p>
    <w:p w14:paraId="33E4ABEE" w14:textId="77777777" w:rsidR="00870EF7" w:rsidRDefault="00A15C35">
      <w:pPr>
        <w:spacing w:line="360" w:lineRule="exact"/>
        <w:ind w:firstLineChars="200" w:firstLine="480"/>
        <w:rPr>
          <w:rFonts w:ascii="仿宋_GB2312" w:eastAsia="仿宋_GB2312"/>
          <w:sz w:val="24"/>
        </w:rPr>
      </w:pPr>
      <w:r>
        <w:rPr>
          <w:rFonts w:ascii="仿宋_GB2312" w:eastAsia="仿宋_GB2312"/>
          <w:sz w:val="24"/>
        </w:rPr>
        <w:t>③</w:t>
      </w:r>
      <w:r>
        <w:rPr>
          <w:rFonts w:ascii="仿宋_GB2312" w:eastAsia="仿宋_GB2312" w:hint="eastAsia"/>
          <w:sz w:val="24"/>
        </w:rPr>
        <w:t>复杂国际环境下研究生培养获国际</w:t>
      </w:r>
      <w:r>
        <w:rPr>
          <w:rFonts w:ascii="仿宋_GB2312" w:eastAsia="仿宋_GB2312"/>
          <w:sz w:val="24"/>
        </w:rPr>
        <w:t>助力</w:t>
      </w:r>
      <w:r>
        <w:rPr>
          <w:rFonts w:ascii="仿宋_GB2312" w:eastAsia="仿宋_GB2312" w:hint="eastAsia"/>
          <w:sz w:val="24"/>
        </w:rPr>
        <w:t>不易，不利于培养国际一流创新人才。</w:t>
      </w:r>
    </w:p>
    <w:p w14:paraId="66A48F38" w14:textId="77777777" w:rsidR="00870EF7" w:rsidRDefault="00A15C35">
      <w:pPr>
        <w:pStyle w:val="ab"/>
        <w:ind w:leftChars="-1" w:left="-2" w:firstLineChars="0" w:firstLine="0"/>
        <w:rPr>
          <w:rFonts w:asciiTheme="minorEastAsia" w:eastAsiaTheme="minorEastAsia" w:hAnsiTheme="minorEastAsia"/>
          <w:spacing w:val="-10"/>
          <w:kern w:val="0"/>
          <w:sz w:val="28"/>
          <w:szCs w:val="28"/>
        </w:rPr>
      </w:pPr>
      <w:r>
        <w:rPr>
          <w:rFonts w:asciiTheme="minorEastAsia" w:eastAsiaTheme="minorEastAsia" w:hAnsiTheme="minorEastAsia" w:hint="eastAsia"/>
          <w:b/>
          <w:bCs/>
          <w:spacing w:val="-10"/>
          <w:kern w:val="0"/>
          <w:sz w:val="28"/>
          <w:szCs w:val="28"/>
        </w:rPr>
        <w:t xml:space="preserve">⒉ </w:t>
      </w:r>
      <w:r>
        <w:rPr>
          <w:rFonts w:asciiTheme="minorEastAsia" w:eastAsiaTheme="minorEastAsia" w:hAnsiTheme="minorEastAsia" w:hint="eastAsia"/>
          <w:spacing w:val="-10"/>
          <w:kern w:val="0"/>
          <w:sz w:val="28"/>
          <w:szCs w:val="28"/>
        </w:rPr>
        <w:t>解决实践问题的方法</w:t>
      </w:r>
    </w:p>
    <w:p w14:paraId="5217354E" w14:textId="4E06C61A"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lastRenderedPageBreak/>
        <w:t>针对以上研究生教育实践问题，本成果从3个方面探索并实施解决的6类打通堵点和卡点的方法与举措：从服务国家战略急需的引导、知识储备、研究方法、工程素养角度，为研究生打下解决卡脖子技术问题的扎实基础；从科学研究与工程实践角度，锤炼研究生解决卡脖子技术问题的能力；从建设国际一流平台角度，提升研究生国际竞争力。</w:t>
      </w:r>
    </w:p>
    <w:p w14:paraId="5F64C2A2" w14:textId="77777777" w:rsidR="00870EF7" w:rsidRDefault="00A15C35">
      <w:pPr>
        <w:pStyle w:val="ab"/>
        <w:ind w:leftChars="-1" w:left="-2" w:firstLineChars="0" w:firstLine="0"/>
        <w:rPr>
          <w:rFonts w:eastAsia="微软雅黑"/>
          <w:b/>
          <w:bCs/>
          <w:spacing w:val="-10"/>
          <w:kern w:val="0"/>
          <w:sz w:val="24"/>
        </w:rPr>
      </w:pPr>
      <w:r>
        <w:rPr>
          <w:rFonts w:eastAsia="微软雅黑"/>
          <w:b/>
          <w:bCs/>
          <w:spacing w:val="-10"/>
          <w:kern w:val="0"/>
          <w:sz w:val="24"/>
        </w:rPr>
        <w:t xml:space="preserve">⑴ </w:t>
      </w:r>
      <w:r>
        <w:rPr>
          <w:rFonts w:eastAsia="微软雅黑" w:hint="eastAsia"/>
          <w:b/>
          <w:bCs/>
          <w:spacing w:val="-10"/>
          <w:kern w:val="0"/>
          <w:sz w:val="24"/>
        </w:rPr>
        <w:t>建设卡脖子技术与工程的课程群</w:t>
      </w:r>
      <w:r>
        <w:rPr>
          <w:rFonts w:eastAsia="微软雅黑"/>
          <w:b/>
          <w:bCs/>
          <w:spacing w:val="-10"/>
          <w:kern w:val="0"/>
          <w:sz w:val="24"/>
        </w:rPr>
        <w:t>，</w:t>
      </w:r>
      <w:r>
        <w:rPr>
          <w:rFonts w:eastAsia="微软雅黑" w:hint="eastAsia"/>
          <w:b/>
          <w:bCs/>
          <w:spacing w:val="-10"/>
          <w:kern w:val="0"/>
          <w:sz w:val="24"/>
        </w:rPr>
        <w:t>夯实研究生服务国家战略的基础与素养</w:t>
      </w:r>
    </w:p>
    <w:p w14:paraId="378B9DC3" w14:textId="77777777" w:rsidR="00870EF7" w:rsidRDefault="00A15C35">
      <w:pPr>
        <w:spacing w:line="360" w:lineRule="exact"/>
        <w:ind w:firstLineChars="200" w:firstLine="480"/>
        <w:rPr>
          <w:rFonts w:ascii="仿宋_GB2312" w:eastAsia="仿宋_GB2312"/>
          <w:sz w:val="24"/>
        </w:rPr>
      </w:pPr>
      <w:r>
        <w:rPr>
          <w:rFonts w:ascii="仿宋_GB2312" w:eastAsia="仿宋_GB2312"/>
          <w:sz w:val="24"/>
        </w:rPr>
        <w:t>①</w:t>
      </w:r>
      <w:r>
        <w:rPr>
          <w:rFonts w:ascii="仿宋_GB2312" w:eastAsia="仿宋_GB2312" w:hint="eastAsia"/>
          <w:sz w:val="24"/>
        </w:rPr>
        <w:t>瞄准信息化战争、经济与生命健康的“电磁空间一体化”卡脖子技术，创造学科交叉的学术氛围与创新机遇。</w:t>
      </w:r>
    </w:p>
    <w:p w14:paraId="023024AD" w14:textId="77777777"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面向国际战略需求，凝练并建设了以电磁理论、量子理论、香农信息论为基础的“电磁空间一体化”交叉学科方向，涉及信息化战争、经济与生命健康的卡脖子技术，让研究生在深度交叉的学术氛围中翱翔，开拓学科视野、把握边缘学科的创新机遇、获得创新性成果、提升国际竞争力。</w:t>
      </w:r>
    </w:p>
    <w:p w14:paraId="0BFBA45E" w14:textId="77777777" w:rsidR="00870EF7" w:rsidRDefault="00A15C35">
      <w:pPr>
        <w:spacing w:line="360" w:lineRule="exact"/>
        <w:ind w:firstLineChars="200" w:firstLine="480"/>
        <w:rPr>
          <w:rFonts w:ascii="仿宋_GB2312" w:eastAsia="仿宋_GB2312"/>
          <w:sz w:val="24"/>
        </w:rPr>
      </w:pPr>
      <w:r>
        <w:rPr>
          <w:rFonts w:ascii="仿宋_GB2312" w:eastAsia="仿宋_GB2312"/>
          <w:sz w:val="24"/>
        </w:rPr>
        <w:t>②</w:t>
      </w:r>
      <w:r>
        <w:rPr>
          <w:rFonts w:ascii="仿宋_GB2312" w:eastAsia="仿宋_GB2312"/>
          <w:sz w:val="24"/>
        </w:rPr>
        <w:t>凌云</w:t>
      </w:r>
      <w:r>
        <w:rPr>
          <w:rFonts w:ascii="仿宋_GB2312" w:eastAsia="仿宋_GB2312" w:hint="eastAsia"/>
          <w:sz w:val="24"/>
        </w:rPr>
        <w:t>计划、</w:t>
      </w:r>
      <w:r>
        <w:rPr>
          <w:rFonts w:ascii="仿宋_GB2312" w:eastAsia="仿宋_GB2312"/>
          <w:sz w:val="24"/>
        </w:rPr>
        <w:t>支部结对、校友导航人生、</w:t>
      </w:r>
      <w:r>
        <w:rPr>
          <w:rFonts w:ascii="仿宋_GB2312" w:eastAsia="仿宋_GB2312" w:hint="eastAsia"/>
          <w:sz w:val="24"/>
        </w:rPr>
        <w:t>“一大”代表王尽美长孙“王明华研究生党建工作室”、课程</w:t>
      </w:r>
      <w:proofErr w:type="gramStart"/>
      <w:r>
        <w:rPr>
          <w:rFonts w:ascii="仿宋_GB2312" w:eastAsia="仿宋_GB2312" w:hint="eastAsia"/>
          <w:sz w:val="24"/>
        </w:rPr>
        <w:t>思政全</w:t>
      </w:r>
      <w:proofErr w:type="gramEnd"/>
      <w:r>
        <w:rPr>
          <w:rFonts w:ascii="仿宋_GB2312" w:eastAsia="仿宋_GB2312" w:hint="eastAsia"/>
          <w:sz w:val="24"/>
        </w:rPr>
        <w:t>覆盖，引导研究生服务国家战略</w:t>
      </w:r>
      <w:r>
        <w:rPr>
          <w:rFonts w:ascii="仿宋_GB2312" w:eastAsia="仿宋_GB2312"/>
          <w:sz w:val="24"/>
        </w:rPr>
        <w:t>。</w:t>
      </w:r>
    </w:p>
    <w:p w14:paraId="4FDD615F" w14:textId="77777777"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本学院在航天科工二院、航天九院772所、航天科工十院、中电</w:t>
      </w:r>
      <w:proofErr w:type="gramStart"/>
      <w:r>
        <w:rPr>
          <w:rFonts w:asciiTheme="minorEastAsia" w:eastAsiaTheme="minorEastAsia" w:hAnsiTheme="minorEastAsia" w:hint="eastAsia"/>
          <w:spacing w:val="-10"/>
          <w:kern w:val="0"/>
          <w:sz w:val="24"/>
        </w:rPr>
        <w:t>莱</w:t>
      </w:r>
      <w:proofErr w:type="gramEnd"/>
      <w:r>
        <w:rPr>
          <w:rFonts w:asciiTheme="minorEastAsia" w:eastAsiaTheme="minorEastAsia" w:hAnsiTheme="minorEastAsia" w:hint="eastAsia"/>
          <w:spacing w:val="-10"/>
          <w:kern w:val="0"/>
          <w:sz w:val="24"/>
        </w:rPr>
        <w:t>斯、中电14所、中电36所、中电38所、中船重工715所等国家重点单位，建立了8个“凌云计划”研究生社会实践基地，让所有研究生了解国防建设与国家战略急需的挑战性和重要价值。</w:t>
      </w:r>
    </w:p>
    <w:p w14:paraId="7AED6552" w14:textId="73E44E2D"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电磁空间一体化”研究生党支部（电磁信息与集成电子研究生党支部）与南京中国电子科技集团公司第十四研究所的党支部结对，研究生走进中电14所，与科研人员进行深入的党建合作与科研合作，有效地引导研究生服务国家战略急需、锻炼研究生的工程实践能力、提升研究生解决卡脖子技术问题的能力。</w:t>
      </w:r>
    </w:p>
    <w:p w14:paraId="0054FA52" w14:textId="7DDE5FBD"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本学院积极发挥校友的作用，“ISEE校友导航人生”已经成为持续的学院品牌活动，每年多次邀请杰出校友为学生作专题报告，</w:t>
      </w:r>
      <w:r w:rsidR="00953214">
        <w:rPr>
          <w:rFonts w:asciiTheme="minorEastAsia" w:eastAsiaTheme="minorEastAsia" w:hAnsiTheme="minorEastAsia" w:hint="eastAsia"/>
          <w:spacing w:val="-10"/>
          <w:kern w:val="0"/>
          <w:sz w:val="24"/>
        </w:rPr>
        <w:t>包括</w:t>
      </w:r>
      <w:r>
        <w:rPr>
          <w:rFonts w:asciiTheme="minorEastAsia" w:eastAsiaTheme="minorEastAsia" w:hAnsiTheme="minorEastAsia" w:hint="eastAsia"/>
          <w:spacing w:val="-10"/>
          <w:kern w:val="0"/>
          <w:sz w:val="24"/>
        </w:rPr>
        <w:t>人民科学家叶培建院士、</w:t>
      </w:r>
      <w:proofErr w:type="gramStart"/>
      <w:r>
        <w:rPr>
          <w:rFonts w:asciiTheme="minorEastAsia" w:eastAsiaTheme="minorEastAsia" w:hAnsiTheme="minorEastAsia"/>
          <w:spacing w:val="-10"/>
          <w:kern w:val="0"/>
          <w:sz w:val="24"/>
        </w:rPr>
        <w:t>腾讯首席科学家</w:t>
      </w:r>
      <w:proofErr w:type="gramEnd"/>
      <w:r>
        <w:rPr>
          <w:rFonts w:asciiTheme="minorEastAsia" w:eastAsiaTheme="minorEastAsia" w:hAnsiTheme="minorEastAsia"/>
          <w:spacing w:val="-10"/>
          <w:kern w:val="0"/>
          <w:sz w:val="24"/>
        </w:rPr>
        <w:t>张正友博士</w:t>
      </w:r>
      <w:r>
        <w:rPr>
          <w:rFonts w:asciiTheme="minorEastAsia" w:eastAsiaTheme="minorEastAsia" w:hAnsiTheme="minorEastAsia" w:hint="eastAsia"/>
          <w:spacing w:val="-10"/>
          <w:kern w:val="0"/>
          <w:sz w:val="24"/>
        </w:rPr>
        <w:t>、北美浙江大学校友会理事长卢国文博士</w:t>
      </w:r>
      <w:r w:rsidR="00E62E33">
        <w:rPr>
          <w:rFonts w:asciiTheme="minorEastAsia" w:eastAsiaTheme="minorEastAsia" w:hAnsiTheme="minorEastAsia" w:hint="eastAsia"/>
          <w:spacing w:val="-10"/>
          <w:kern w:val="0"/>
          <w:sz w:val="24"/>
        </w:rPr>
        <w:t>。</w:t>
      </w:r>
      <w:r>
        <w:rPr>
          <w:rFonts w:asciiTheme="minorEastAsia" w:eastAsiaTheme="minorEastAsia" w:hAnsiTheme="minorEastAsia" w:hint="eastAsia"/>
          <w:spacing w:val="-10"/>
          <w:kern w:val="0"/>
          <w:sz w:val="24"/>
        </w:rPr>
        <w:t>杰出校友与研究生分享他们在成长过程中的心路历程、成功经验，传承学院文化精神，引导研究生坚定信念、增强自信、开阔视野、挑战自己、创新创业、砥砺前行、勇担使命。</w:t>
      </w:r>
    </w:p>
    <w:p w14:paraId="5713D542" w14:textId="77777777"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传承学院红色基因，充分发挥学院退休教授、中共一大代表王尽美长孙王明华教授的研究生党建工作室作用（中国关工委副主任、教育部关工委主任、教育部原副部长李卫红今年来学校，参加了</w:t>
      </w:r>
      <w:r>
        <w:rPr>
          <w:rFonts w:asciiTheme="minorEastAsia" w:eastAsiaTheme="minorEastAsia" w:hAnsiTheme="minorEastAsia"/>
          <w:spacing w:val="-10"/>
          <w:kern w:val="0"/>
          <w:sz w:val="24"/>
        </w:rPr>
        <w:t>“在鲜红的党旗下”王明华研究生党建工作室</w:t>
      </w:r>
      <w:r>
        <w:rPr>
          <w:rFonts w:asciiTheme="minorEastAsia" w:eastAsiaTheme="minorEastAsia" w:hAnsiTheme="minorEastAsia" w:hint="eastAsia"/>
          <w:spacing w:val="-10"/>
          <w:kern w:val="0"/>
          <w:sz w:val="24"/>
        </w:rPr>
        <w:t>成立三周年工作研讨会），助力研究生学有所引、学有所进、学有所乐、学有所专。</w:t>
      </w:r>
    </w:p>
    <w:p w14:paraId="2EE92B08" w14:textId="46C93DC3" w:rsidR="00870EF7" w:rsidRDefault="00A15C35">
      <w:pPr>
        <w:spacing w:line="360" w:lineRule="exact"/>
        <w:ind w:firstLineChars="200" w:firstLine="480"/>
        <w:rPr>
          <w:rFonts w:ascii="仿宋_GB2312" w:eastAsia="仿宋_GB2312"/>
          <w:sz w:val="24"/>
        </w:rPr>
      </w:pPr>
      <w:r>
        <w:rPr>
          <w:rFonts w:ascii="仿宋_GB2312" w:eastAsia="仿宋_GB2312"/>
          <w:sz w:val="24"/>
        </w:rPr>
        <w:t>③</w:t>
      </w:r>
      <w:r>
        <w:rPr>
          <w:rFonts w:ascii="仿宋_GB2312" w:eastAsia="仿宋_GB2312" w:hint="eastAsia"/>
          <w:sz w:val="24"/>
        </w:rPr>
        <w:t>工程伦理、工程管理、科学研究与技术创新方法等7门工程技术类平台与</w:t>
      </w:r>
      <w:r>
        <w:rPr>
          <w:rFonts w:ascii="仿宋_GB2312" w:eastAsia="仿宋_GB2312" w:hint="eastAsia"/>
          <w:sz w:val="24"/>
        </w:rPr>
        <w:lastRenderedPageBreak/>
        <w:t>学位课，电磁调控原理与技术、电磁空间数字孪生技术、智能信息处理等12门学位必修与选修课，增强</w:t>
      </w:r>
      <w:r w:rsidR="00624312">
        <w:rPr>
          <w:rFonts w:ascii="仿宋_GB2312" w:eastAsia="仿宋_GB2312" w:hint="eastAsia"/>
          <w:sz w:val="24"/>
        </w:rPr>
        <w:t>研究生</w:t>
      </w:r>
      <w:r>
        <w:rPr>
          <w:rFonts w:ascii="仿宋_GB2312" w:eastAsia="仿宋_GB2312" w:hint="eastAsia"/>
          <w:sz w:val="24"/>
        </w:rPr>
        <w:t>工程基础素养、“电磁空间一体化”技术</w:t>
      </w:r>
      <w:r>
        <w:rPr>
          <w:rFonts w:ascii="仿宋_GB2312" w:eastAsia="仿宋_GB2312"/>
          <w:sz w:val="24"/>
        </w:rPr>
        <w:t>。</w:t>
      </w:r>
    </w:p>
    <w:p w14:paraId="4224A2E7" w14:textId="4C167544"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为增强研究生的工程基础、提升工程素养，开设了工程伦理、工程管理、科学研究与技术创新方法、工程前沿技术讲座、信息与计算前沿及应用、电子信息工程中数学模型与方法、科学研究与写作指导等7门工程技术类平台与学位课。</w:t>
      </w:r>
    </w:p>
    <w:p w14:paraId="128A5F52" w14:textId="149D9A4E"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为</w:t>
      </w:r>
      <w:bookmarkStart w:id="0" w:name="_GoBack"/>
      <w:bookmarkEnd w:id="0"/>
      <w:r>
        <w:rPr>
          <w:rFonts w:asciiTheme="minorEastAsia" w:eastAsiaTheme="minorEastAsia" w:hAnsiTheme="minorEastAsia" w:hint="eastAsia"/>
          <w:spacing w:val="-10"/>
          <w:kern w:val="0"/>
          <w:sz w:val="24"/>
        </w:rPr>
        <w:t>加强“电磁空间一体化”的知识储备、解决卡脖子技术问题的基础，开设了电磁调控原理与技术、电磁空间数字孪生技术、智能信息处理、高等电磁波理论、天线原理、计算电磁学、信息光子学、先进软件无线电系统和技术、现代信号处理、高级嵌入式系统设计与应用、人工智能算法与系统、物联网信息安全技术与应用基础等12门学位必修与选修课。</w:t>
      </w:r>
    </w:p>
    <w:p w14:paraId="617799BD" w14:textId="38A88B6D" w:rsidR="00870EF7" w:rsidRDefault="00A15C35">
      <w:pPr>
        <w:pStyle w:val="ab"/>
        <w:ind w:leftChars="-1" w:left="-2" w:firstLineChars="0" w:firstLine="0"/>
        <w:rPr>
          <w:rFonts w:eastAsia="微软雅黑"/>
          <w:b/>
          <w:bCs/>
          <w:spacing w:val="-10"/>
          <w:kern w:val="0"/>
          <w:sz w:val="24"/>
        </w:rPr>
      </w:pPr>
      <w:r>
        <w:rPr>
          <w:rFonts w:eastAsia="微软雅黑"/>
          <w:b/>
          <w:bCs/>
          <w:spacing w:val="-10"/>
          <w:kern w:val="0"/>
          <w:sz w:val="24"/>
        </w:rPr>
        <w:t xml:space="preserve">⑵ </w:t>
      </w:r>
      <w:r>
        <w:rPr>
          <w:rFonts w:eastAsia="微软雅黑"/>
          <w:b/>
          <w:bCs/>
          <w:spacing w:val="-10"/>
          <w:kern w:val="0"/>
          <w:sz w:val="24"/>
        </w:rPr>
        <w:t>建设</w:t>
      </w:r>
      <w:r>
        <w:rPr>
          <w:rFonts w:eastAsia="微软雅黑" w:hint="eastAsia"/>
          <w:b/>
          <w:bCs/>
          <w:spacing w:val="-10"/>
          <w:kern w:val="0"/>
          <w:sz w:val="24"/>
        </w:rPr>
        <w:t>制订研究生</w:t>
      </w:r>
      <w:r>
        <w:rPr>
          <w:rFonts w:eastAsia="微软雅黑"/>
          <w:b/>
          <w:bCs/>
          <w:spacing w:val="-10"/>
          <w:kern w:val="0"/>
          <w:sz w:val="24"/>
        </w:rPr>
        <w:t>校内外科学研究与工程实践</w:t>
      </w:r>
      <w:r>
        <w:rPr>
          <w:rFonts w:eastAsia="微软雅黑" w:hint="eastAsia"/>
          <w:b/>
          <w:bCs/>
          <w:spacing w:val="-10"/>
          <w:kern w:val="0"/>
          <w:sz w:val="24"/>
        </w:rPr>
        <w:t>机制</w:t>
      </w:r>
      <w:r>
        <w:rPr>
          <w:rFonts w:eastAsia="微软雅黑"/>
          <w:b/>
          <w:bCs/>
          <w:spacing w:val="-10"/>
          <w:kern w:val="0"/>
          <w:sz w:val="24"/>
        </w:rPr>
        <w:t>，构筑自主培养创新人才高地</w:t>
      </w:r>
    </w:p>
    <w:p w14:paraId="4451D667" w14:textId="77777777" w:rsidR="00870EF7" w:rsidRDefault="00A15C35">
      <w:pPr>
        <w:spacing w:line="360" w:lineRule="exact"/>
        <w:ind w:firstLineChars="200" w:firstLine="480"/>
        <w:rPr>
          <w:rFonts w:ascii="仿宋_GB2312" w:eastAsia="仿宋_GB2312"/>
          <w:sz w:val="24"/>
        </w:rPr>
      </w:pPr>
      <w:r>
        <w:rPr>
          <w:rFonts w:ascii="仿宋_GB2312" w:eastAsia="仿宋_GB2312" w:hint="eastAsia"/>
          <w:sz w:val="24"/>
        </w:rPr>
        <w:t>④落实研究生主动探索学科前沿，全过程参与重大科研项目申请、研发与成果总结，提升学术创新能力</w:t>
      </w:r>
      <w:r>
        <w:rPr>
          <w:rFonts w:ascii="仿宋_GB2312" w:eastAsia="仿宋_GB2312"/>
          <w:sz w:val="24"/>
        </w:rPr>
        <w:t>。</w:t>
      </w:r>
    </w:p>
    <w:p w14:paraId="129B1918" w14:textId="27C30326"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有效实施科教</w:t>
      </w:r>
      <w:proofErr w:type="gramStart"/>
      <w:r>
        <w:rPr>
          <w:rFonts w:asciiTheme="minorEastAsia" w:eastAsiaTheme="minorEastAsia" w:hAnsiTheme="minorEastAsia" w:hint="eastAsia"/>
          <w:spacing w:val="-10"/>
          <w:kern w:val="0"/>
          <w:sz w:val="24"/>
        </w:rPr>
        <w:t>融汇</w:t>
      </w:r>
      <w:proofErr w:type="gramEnd"/>
      <w:r>
        <w:rPr>
          <w:rFonts w:asciiTheme="minorEastAsia" w:eastAsiaTheme="minorEastAsia" w:hAnsiTheme="minorEastAsia" w:hint="eastAsia"/>
          <w:spacing w:val="-10"/>
          <w:kern w:val="0"/>
          <w:sz w:val="24"/>
        </w:rPr>
        <w:t>，瞄准“电磁空间一体化”国家战略需求，研究生全程参与解决卡脖子技术问题，包括参与课题申请、探索前沿创新、推动应用创新等方面。</w:t>
      </w:r>
    </w:p>
    <w:p w14:paraId="631E61DE" w14:textId="49588270"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组织研究生参与科研项目</w:t>
      </w:r>
      <w:proofErr w:type="gramStart"/>
      <w:r>
        <w:rPr>
          <w:rFonts w:asciiTheme="minorEastAsia" w:eastAsiaTheme="minorEastAsia" w:hAnsiTheme="minorEastAsia" w:hint="eastAsia"/>
          <w:spacing w:val="-10"/>
          <w:kern w:val="0"/>
          <w:sz w:val="24"/>
        </w:rPr>
        <w:t>申请全</w:t>
      </w:r>
      <w:proofErr w:type="gramEnd"/>
      <w:r>
        <w:rPr>
          <w:rFonts w:asciiTheme="minorEastAsia" w:eastAsiaTheme="minorEastAsia" w:hAnsiTheme="minorEastAsia" w:hint="eastAsia"/>
          <w:spacing w:val="-10"/>
          <w:kern w:val="0"/>
          <w:sz w:val="24"/>
        </w:rPr>
        <w:t>过程，包括项目</w:t>
      </w:r>
      <w:r w:rsidR="000C51A0">
        <w:rPr>
          <w:rFonts w:asciiTheme="minorEastAsia" w:eastAsiaTheme="minorEastAsia" w:hAnsiTheme="minorEastAsia" w:hint="eastAsia"/>
          <w:spacing w:val="-10"/>
          <w:kern w:val="0"/>
          <w:sz w:val="24"/>
        </w:rPr>
        <w:t>背景调研</w:t>
      </w:r>
      <w:r>
        <w:rPr>
          <w:rFonts w:asciiTheme="minorEastAsia" w:eastAsiaTheme="minorEastAsia" w:hAnsiTheme="minorEastAsia" w:hint="eastAsia"/>
          <w:spacing w:val="-10"/>
          <w:kern w:val="0"/>
          <w:sz w:val="24"/>
        </w:rPr>
        <w:t>、项目申报、项目实施、项目验收、成果凝练、论文发表等。研究生参与科学问题讨论和研究方向凝练，培育研究生对学科领域发展趋势的洞察力；积极鼓励研究生主动探索前沿领域，增强提出科学问题和解决问题的能力，培养科研原创能力；依托国家级平台，鼓励研究生开展面向国家需求领域的应用创新，培养研究生的实践能力，提升学术创新能力。</w:t>
      </w:r>
    </w:p>
    <w:p w14:paraId="1F9D6BAD" w14:textId="6A540756" w:rsidR="00870EF7" w:rsidRDefault="00A15C35">
      <w:pPr>
        <w:spacing w:line="360" w:lineRule="exact"/>
        <w:ind w:firstLineChars="200" w:firstLine="480"/>
        <w:rPr>
          <w:rFonts w:ascii="仿宋_GB2312" w:eastAsia="仿宋_GB2312"/>
          <w:sz w:val="24"/>
        </w:rPr>
      </w:pPr>
      <w:r>
        <w:rPr>
          <w:rFonts w:ascii="仿宋_GB2312" w:eastAsia="仿宋_GB2312" w:hint="eastAsia"/>
          <w:sz w:val="24"/>
        </w:rPr>
        <w:t>⑤与</w:t>
      </w:r>
      <w:r w:rsidR="00674B52">
        <w:rPr>
          <w:rFonts w:ascii="仿宋_GB2312" w:eastAsia="仿宋_GB2312" w:hint="eastAsia"/>
          <w:sz w:val="24"/>
        </w:rPr>
        <w:t>乾元国家实验室、</w:t>
      </w:r>
      <w:r>
        <w:rPr>
          <w:rFonts w:ascii="仿宋_GB2312" w:eastAsia="仿宋_GB2312" w:hint="eastAsia"/>
          <w:sz w:val="24"/>
        </w:rPr>
        <w:t>航空工业特种所、航天5院等国家重点单位深度合作，共建研究生培养基地，高校、企业、海外一流高校专家教授组成导师组，解决国家急需“真问题”，锤炼研究生工程创新能力</w:t>
      </w:r>
      <w:r>
        <w:rPr>
          <w:rFonts w:ascii="仿宋_GB2312" w:eastAsia="仿宋_GB2312"/>
          <w:sz w:val="24"/>
        </w:rPr>
        <w:t>。</w:t>
      </w:r>
    </w:p>
    <w:p w14:paraId="75388025" w14:textId="77777777"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有效实施产教融合，建立高校教授、企业专家、海外一流高校教授的导师组机制，共同指导研究生校内外的科研实践。</w:t>
      </w:r>
    </w:p>
    <w:p w14:paraId="13990368" w14:textId="0F9988B8" w:rsidR="00870EF7" w:rsidRDefault="00A15C35" w:rsidP="00674B52">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与国家重点单位深度开展研究生</w:t>
      </w:r>
      <w:r w:rsidR="00E25A02">
        <w:rPr>
          <w:rFonts w:asciiTheme="minorEastAsia" w:eastAsiaTheme="minorEastAsia" w:hAnsiTheme="minorEastAsia" w:hint="eastAsia"/>
          <w:spacing w:val="-10"/>
          <w:kern w:val="0"/>
          <w:sz w:val="24"/>
        </w:rPr>
        <w:t>联合</w:t>
      </w:r>
      <w:r>
        <w:rPr>
          <w:rFonts w:asciiTheme="minorEastAsia" w:eastAsiaTheme="minorEastAsia" w:hAnsiTheme="minorEastAsia" w:hint="eastAsia"/>
          <w:spacing w:val="-10"/>
          <w:kern w:val="0"/>
          <w:sz w:val="24"/>
        </w:rPr>
        <w:t>培养合作，共建航空工业特种所（国防领域电磁窗唯一的研究机构）-浙江大学联合实验室、航天5院-浙江大学专业学位研究生培养基地（项目制研究生培养）、乾元</w:t>
      </w:r>
      <w:r w:rsidR="00674B52">
        <w:rPr>
          <w:rFonts w:asciiTheme="minorEastAsia" w:eastAsiaTheme="minorEastAsia" w:hAnsiTheme="minorEastAsia" w:hint="eastAsia"/>
          <w:spacing w:val="-10"/>
          <w:kern w:val="0"/>
          <w:sz w:val="24"/>
        </w:rPr>
        <w:t>国家实验室</w:t>
      </w:r>
      <w:r>
        <w:rPr>
          <w:rFonts w:asciiTheme="minorEastAsia" w:eastAsiaTheme="minorEastAsia" w:hAnsiTheme="minorEastAsia" w:hint="eastAsia"/>
          <w:spacing w:val="-10"/>
          <w:kern w:val="0"/>
          <w:sz w:val="24"/>
        </w:rPr>
        <w:t>-浙江大学电磁学院（筹）等校外科学研究与工程实践基地。</w:t>
      </w:r>
      <w:r w:rsidR="000C51A0">
        <w:rPr>
          <w:rFonts w:asciiTheme="minorEastAsia" w:eastAsiaTheme="minorEastAsia" w:hAnsiTheme="minorEastAsia" w:hint="eastAsia"/>
          <w:b/>
          <w:spacing w:val="-10"/>
          <w:kern w:val="0"/>
          <w:sz w:val="24"/>
        </w:rPr>
        <w:t>近三年，</w:t>
      </w:r>
      <w:r w:rsidR="000C51A0" w:rsidRPr="000C51A0">
        <w:rPr>
          <w:rFonts w:asciiTheme="minorEastAsia" w:eastAsiaTheme="minorEastAsia" w:hAnsiTheme="minorEastAsia" w:hint="eastAsia"/>
          <w:b/>
          <w:spacing w:val="-10"/>
          <w:kern w:val="0"/>
          <w:sz w:val="24"/>
        </w:rPr>
        <w:t>学院“电磁空间一体化”团队</w:t>
      </w:r>
      <w:r w:rsidR="000C51A0">
        <w:rPr>
          <w:rFonts w:asciiTheme="minorEastAsia" w:eastAsiaTheme="minorEastAsia" w:hAnsiTheme="minorEastAsia" w:hint="eastAsia"/>
          <w:b/>
          <w:spacing w:val="-10"/>
          <w:kern w:val="0"/>
          <w:sz w:val="24"/>
        </w:rPr>
        <w:t>与</w:t>
      </w:r>
      <w:r w:rsidR="00674B52" w:rsidRPr="000C51A0">
        <w:rPr>
          <w:rFonts w:asciiTheme="minorEastAsia" w:eastAsiaTheme="minorEastAsia" w:hAnsiTheme="minorEastAsia" w:hint="eastAsia"/>
          <w:b/>
          <w:spacing w:val="-10"/>
          <w:kern w:val="0"/>
          <w:sz w:val="24"/>
        </w:rPr>
        <w:t>乾元国家实验室直接对接，已共同招收26名联合培养博士生</w:t>
      </w:r>
      <w:r w:rsidR="00674B52">
        <w:rPr>
          <w:rFonts w:asciiTheme="minorEastAsia" w:eastAsiaTheme="minorEastAsia" w:hAnsiTheme="minorEastAsia" w:hint="eastAsia"/>
          <w:spacing w:val="-10"/>
          <w:kern w:val="0"/>
          <w:sz w:val="24"/>
        </w:rPr>
        <w:t>。</w:t>
      </w:r>
      <w:r>
        <w:rPr>
          <w:rFonts w:asciiTheme="minorEastAsia" w:eastAsiaTheme="minorEastAsia" w:hAnsiTheme="minorEastAsia" w:hint="eastAsia"/>
          <w:spacing w:val="-10"/>
          <w:kern w:val="0"/>
          <w:sz w:val="24"/>
        </w:rPr>
        <w:t>通过研发国家战略急需的大项目、解决行业企业“真问题”，锤炼研究生工程创新能力。</w:t>
      </w:r>
    </w:p>
    <w:p w14:paraId="702458E9" w14:textId="77777777" w:rsidR="00870EF7" w:rsidRDefault="00A15C35">
      <w:pPr>
        <w:spacing w:line="360" w:lineRule="exact"/>
        <w:rPr>
          <w:rFonts w:eastAsia="微软雅黑"/>
          <w:b/>
          <w:bCs/>
          <w:spacing w:val="-10"/>
          <w:kern w:val="0"/>
          <w:sz w:val="24"/>
        </w:rPr>
      </w:pPr>
      <w:r>
        <w:rPr>
          <w:rFonts w:ascii="宋体" w:hAnsi="宋体" w:cs="宋体" w:hint="eastAsia"/>
          <w:b/>
          <w:bCs/>
          <w:spacing w:val="-10"/>
          <w:kern w:val="0"/>
          <w:sz w:val="24"/>
        </w:rPr>
        <w:lastRenderedPageBreak/>
        <w:t>⑶</w:t>
      </w:r>
      <w:r>
        <w:rPr>
          <w:rFonts w:eastAsia="微软雅黑"/>
          <w:b/>
          <w:bCs/>
          <w:spacing w:val="-10"/>
          <w:kern w:val="0"/>
          <w:sz w:val="24"/>
        </w:rPr>
        <w:t xml:space="preserve"> </w:t>
      </w:r>
      <w:r>
        <w:rPr>
          <w:rFonts w:eastAsia="微软雅黑"/>
          <w:b/>
          <w:bCs/>
          <w:spacing w:val="-10"/>
          <w:kern w:val="0"/>
          <w:sz w:val="24"/>
        </w:rPr>
        <w:t>打造国际一流平台，摆脱复杂国际环境对自主培养国际一流创新人才的束缚</w:t>
      </w:r>
    </w:p>
    <w:p w14:paraId="3D73E253" w14:textId="407494B6" w:rsidR="00870EF7" w:rsidRDefault="00A15C35">
      <w:pPr>
        <w:spacing w:line="360" w:lineRule="exact"/>
        <w:ind w:firstLineChars="200" w:firstLine="480"/>
        <w:rPr>
          <w:rFonts w:ascii="仿宋_GB2312" w:eastAsia="仿宋_GB2312"/>
          <w:sz w:val="24"/>
        </w:rPr>
      </w:pPr>
      <w:r>
        <w:rPr>
          <w:rFonts w:ascii="仿宋_GB2312" w:eastAsia="仿宋_GB2312" w:hint="eastAsia"/>
          <w:sz w:val="24"/>
        </w:rPr>
        <w:t>⑥主办电磁领域1个</w:t>
      </w:r>
      <w:r w:rsidR="00321859">
        <w:rPr>
          <w:rFonts w:ascii="仿宋_GB2312" w:eastAsia="仿宋_GB2312" w:hint="eastAsia"/>
          <w:sz w:val="24"/>
        </w:rPr>
        <w:t>中科院</w:t>
      </w:r>
      <w:r>
        <w:rPr>
          <w:rFonts w:ascii="仿宋_GB2312" w:eastAsia="仿宋_GB2312" w:hint="eastAsia"/>
          <w:sz w:val="24"/>
        </w:rPr>
        <w:t>一区期刊、1个国际会议，研究生全方位参与国际会议筹划、实施、</w:t>
      </w:r>
      <w:proofErr w:type="gramStart"/>
      <w:r>
        <w:rPr>
          <w:rFonts w:ascii="仿宋_GB2312" w:eastAsia="仿宋_GB2312" w:hint="eastAsia"/>
          <w:sz w:val="24"/>
        </w:rPr>
        <w:t>作主</w:t>
      </w:r>
      <w:proofErr w:type="gramEnd"/>
      <w:r>
        <w:rPr>
          <w:rFonts w:ascii="仿宋_GB2312" w:eastAsia="仿宋_GB2312" w:hint="eastAsia"/>
          <w:sz w:val="24"/>
        </w:rPr>
        <w:t>题报告，研究生按国际会议标准流程轮流主持</w:t>
      </w:r>
      <w:r w:rsidR="005D2C11">
        <w:rPr>
          <w:rFonts w:ascii="仿宋_GB2312" w:eastAsia="仿宋_GB2312" w:hint="eastAsia"/>
          <w:sz w:val="24"/>
        </w:rPr>
        <w:t>周会</w:t>
      </w:r>
      <w:r>
        <w:rPr>
          <w:rFonts w:ascii="仿宋_GB2312" w:eastAsia="仿宋_GB2312" w:hint="eastAsia"/>
          <w:sz w:val="24"/>
        </w:rPr>
        <w:t>、学术讨论、论文辩驳攻防，提升研究生国际竞争力</w:t>
      </w:r>
      <w:r>
        <w:rPr>
          <w:rFonts w:ascii="仿宋_GB2312" w:eastAsia="仿宋_GB2312"/>
          <w:sz w:val="24"/>
        </w:rPr>
        <w:t>。</w:t>
      </w:r>
    </w:p>
    <w:p w14:paraId="21BE5169" w14:textId="7A835D70"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依托学院“电磁空间一体化”</w:t>
      </w:r>
      <w:r w:rsidR="008A5706">
        <w:rPr>
          <w:rFonts w:asciiTheme="minorEastAsia" w:eastAsiaTheme="minorEastAsia" w:hAnsiTheme="minorEastAsia" w:hint="eastAsia"/>
          <w:spacing w:val="-10"/>
          <w:kern w:val="0"/>
          <w:sz w:val="24"/>
        </w:rPr>
        <w:t>平台</w:t>
      </w:r>
      <w:r>
        <w:rPr>
          <w:rFonts w:asciiTheme="minorEastAsia" w:eastAsiaTheme="minorEastAsia" w:hAnsiTheme="minorEastAsia" w:hint="eastAsia"/>
          <w:spacing w:val="-10"/>
          <w:kern w:val="0"/>
          <w:sz w:val="24"/>
        </w:rPr>
        <w:t>，每年主办国际</w:t>
      </w:r>
      <w:r w:rsidR="002324F0">
        <w:rPr>
          <w:rFonts w:asciiTheme="minorEastAsia" w:eastAsiaTheme="minorEastAsia" w:hAnsiTheme="minorEastAsia" w:hint="eastAsia"/>
          <w:spacing w:val="-10"/>
          <w:kern w:val="0"/>
          <w:sz w:val="24"/>
        </w:rPr>
        <w:t>光子、</w:t>
      </w:r>
      <w:r>
        <w:rPr>
          <w:rFonts w:asciiTheme="minorEastAsia" w:eastAsiaTheme="minorEastAsia" w:hAnsiTheme="minorEastAsia" w:hint="eastAsia"/>
          <w:spacing w:val="-10"/>
          <w:kern w:val="0"/>
          <w:sz w:val="24"/>
        </w:rPr>
        <w:t>电磁学研究进展会议</w:t>
      </w:r>
      <w:proofErr w:type="spellStart"/>
      <w:r w:rsidR="005D2C11" w:rsidRPr="005D2C11">
        <w:rPr>
          <w:rFonts w:asciiTheme="minorEastAsia" w:eastAsiaTheme="minorEastAsia" w:hAnsiTheme="minorEastAsia" w:hint="eastAsia"/>
          <w:spacing w:val="-10"/>
          <w:kern w:val="0"/>
          <w:sz w:val="24"/>
        </w:rPr>
        <w:t>PhotonIcs</w:t>
      </w:r>
      <w:proofErr w:type="spellEnd"/>
      <w:r w:rsidR="005D2C11" w:rsidRPr="005D2C11">
        <w:rPr>
          <w:rFonts w:asciiTheme="minorEastAsia" w:eastAsiaTheme="minorEastAsia" w:hAnsiTheme="minorEastAsia" w:hint="eastAsia"/>
          <w:spacing w:val="-10"/>
          <w:kern w:val="0"/>
          <w:sz w:val="24"/>
        </w:rPr>
        <w:t xml:space="preserve"> and Electromagnetics Research Symposium</w:t>
      </w:r>
      <w:r>
        <w:rPr>
          <w:rFonts w:asciiTheme="minorEastAsia" w:eastAsiaTheme="minorEastAsia" w:hAnsiTheme="minorEastAsia" w:hint="eastAsia"/>
          <w:spacing w:val="-10"/>
          <w:kern w:val="0"/>
          <w:sz w:val="24"/>
        </w:rPr>
        <w:t>（PIERS），每次都吸引近40个国家和地区的学者，参会人数超过1000人，其中有近50位IEEE Fellow或电磁科学院院士等国际知名研究学者。</w:t>
      </w:r>
    </w:p>
    <w:p w14:paraId="1D45F905" w14:textId="206E3B03"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依托学院“电磁空间一体化”，主办</w:t>
      </w:r>
      <w:r w:rsidR="00321859">
        <w:rPr>
          <w:rFonts w:asciiTheme="minorEastAsia" w:eastAsiaTheme="minorEastAsia" w:hAnsiTheme="minorEastAsia" w:hint="eastAsia"/>
          <w:spacing w:val="-10"/>
          <w:kern w:val="0"/>
          <w:sz w:val="24"/>
        </w:rPr>
        <w:t>中科院</w:t>
      </w:r>
      <w:r>
        <w:rPr>
          <w:rFonts w:asciiTheme="minorEastAsia" w:eastAsiaTheme="minorEastAsia" w:hAnsiTheme="minorEastAsia" w:hint="eastAsia"/>
          <w:spacing w:val="-10"/>
          <w:kern w:val="0"/>
          <w:sz w:val="24"/>
        </w:rPr>
        <w:t>一区期刊</w:t>
      </w:r>
      <w:r w:rsidR="00321859" w:rsidRPr="00E27002">
        <w:rPr>
          <w:rFonts w:asciiTheme="minorEastAsia" w:eastAsiaTheme="minorEastAsia" w:hAnsiTheme="minorEastAsia"/>
          <w:spacing w:val="-10"/>
          <w:kern w:val="0"/>
          <w:sz w:val="24"/>
        </w:rPr>
        <w:t>Progress</w:t>
      </w:r>
      <w:r w:rsidR="00321859">
        <w:rPr>
          <w:rFonts w:asciiTheme="minorEastAsia" w:eastAsiaTheme="minorEastAsia" w:hAnsiTheme="minorEastAsia"/>
          <w:spacing w:val="-10"/>
          <w:kern w:val="0"/>
          <w:sz w:val="24"/>
        </w:rPr>
        <w:t xml:space="preserve"> </w:t>
      </w:r>
      <w:r w:rsidR="00321859" w:rsidRPr="00E27002">
        <w:rPr>
          <w:rFonts w:asciiTheme="minorEastAsia" w:eastAsiaTheme="minorEastAsia" w:hAnsiTheme="minorEastAsia"/>
          <w:spacing w:val="-10"/>
          <w:kern w:val="0"/>
          <w:sz w:val="24"/>
        </w:rPr>
        <w:t>In</w:t>
      </w:r>
      <w:r w:rsidR="00321859">
        <w:rPr>
          <w:rFonts w:asciiTheme="minorEastAsia" w:eastAsiaTheme="minorEastAsia" w:hAnsiTheme="minorEastAsia"/>
          <w:spacing w:val="-10"/>
          <w:kern w:val="0"/>
          <w:sz w:val="24"/>
        </w:rPr>
        <w:t xml:space="preserve"> </w:t>
      </w:r>
      <w:r w:rsidR="00321859" w:rsidRPr="00E27002">
        <w:rPr>
          <w:rFonts w:asciiTheme="minorEastAsia" w:eastAsiaTheme="minorEastAsia" w:hAnsiTheme="minorEastAsia"/>
          <w:spacing w:val="-10"/>
          <w:kern w:val="0"/>
          <w:sz w:val="24"/>
        </w:rPr>
        <w:t>Electromagnetics</w:t>
      </w:r>
      <w:r w:rsidR="00321859">
        <w:rPr>
          <w:rFonts w:asciiTheme="minorEastAsia" w:eastAsiaTheme="minorEastAsia" w:hAnsiTheme="minorEastAsia"/>
          <w:spacing w:val="-10"/>
          <w:kern w:val="0"/>
          <w:sz w:val="24"/>
        </w:rPr>
        <w:t xml:space="preserve"> </w:t>
      </w:r>
      <w:r w:rsidR="00321859" w:rsidRPr="00E27002">
        <w:rPr>
          <w:rFonts w:asciiTheme="minorEastAsia" w:eastAsiaTheme="minorEastAsia" w:hAnsiTheme="minorEastAsia"/>
          <w:spacing w:val="-10"/>
          <w:kern w:val="0"/>
          <w:sz w:val="24"/>
        </w:rPr>
        <w:t>Research</w:t>
      </w:r>
      <w:r>
        <w:rPr>
          <w:rFonts w:asciiTheme="minorEastAsia" w:eastAsiaTheme="minorEastAsia" w:hAnsiTheme="minorEastAsia" w:hint="eastAsia"/>
          <w:spacing w:val="-10"/>
          <w:kern w:val="0"/>
          <w:sz w:val="24"/>
        </w:rPr>
        <w:t>（PIER），国际上电磁领域一区期刊只有</w:t>
      </w:r>
      <w:r w:rsidRPr="005D2C11">
        <w:rPr>
          <w:rFonts w:asciiTheme="minorEastAsia" w:eastAsiaTheme="minorEastAsia" w:hAnsiTheme="minorEastAsia" w:hint="eastAsia"/>
          <w:spacing w:val="-10"/>
          <w:kern w:val="0"/>
          <w:sz w:val="24"/>
        </w:rPr>
        <w:t>3-4</w:t>
      </w:r>
      <w:r>
        <w:rPr>
          <w:rFonts w:asciiTheme="minorEastAsia" w:eastAsiaTheme="minorEastAsia" w:hAnsiTheme="minorEastAsia" w:hint="eastAsia"/>
          <w:spacing w:val="-10"/>
          <w:kern w:val="0"/>
          <w:sz w:val="24"/>
        </w:rPr>
        <w:t>个，该期刊也是浙江大学主办的2个一区期刊之一。</w:t>
      </w:r>
    </w:p>
    <w:p w14:paraId="206F006C" w14:textId="77777777"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在国际会议层次，鼓励研究生全方位参与国际会议的筹划、主办和组织工作，以及在国际会议上</w:t>
      </w:r>
      <w:proofErr w:type="gramStart"/>
      <w:r>
        <w:rPr>
          <w:rFonts w:asciiTheme="minorEastAsia" w:eastAsiaTheme="minorEastAsia" w:hAnsiTheme="minorEastAsia" w:hint="eastAsia"/>
          <w:spacing w:val="-10"/>
          <w:kern w:val="0"/>
          <w:sz w:val="24"/>
        </w:rPr>
        <w:t>作主</w:t>
      </w:r>
      <w:proofErr w:type="gramEnd"/>
      <w:r>
        <w:rPr>
          <w:rFonts w:asciiTheme="minorEastAsia" w:eastAsiaTheme="minorEastAsia" w:hAnsiTheme="minorEastAsia" w:hint="eastAsia"/>
          <w:spacing w:val="-10"/>
          <w:kern w:val="0"/>
          <w:sz w:val="24"/>
        </w:rPr>
        <w:t>题报告，增加研究生与国际知名学者面对面交流的机会，开拓学生的国际视野与跨文化交流能力。</w:t>
      </w:r>
    </w:p>
    <w:p w14:paraId="5D6FED46" w14:textId="77777777"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在团队组会层次，轮流安排研究生作为主持，按国际会议标准流程，开展每周的组会和学术讨论。</w:t>
      </w:r>
    </w:p>
    <w:p w14:paraId="29EE7F8E" w14:textId="77777777"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在成果论文总结凝练层面，研究生全程参与创新成果总结、论文撰写以及与“评审专家”辩驳攻防的训练。</w:t>
      </w:r>
    </w:p>
    <w:p w14:paraId="3DA03E5B" w14:textId="77777777" w:rsidR="00870EF7" w:rsidRDefault="00A15C35">
      <w:pPr>
        <w:pStyle w:val="ab"/>
        <w:ind w:leftChars="-1" w:left="-2" w:firstLineChars="0" w:firstLine="0"/>
        <w:rPr>
          <w:rFonts w:asciiTheme="minorEastAsia" w:eastAsiaTheme="minorEastAsia" w:hAnsiTheme="minorEastAsia"/>
          <w:spacing w:val="-10"/>
          <w:kern w:val="0"/>
          <w:sz w:val="28"/>
          <w:szCs w:val="28"/>
        </w:rPr>
      </w:pPr>
      <w:r>
        <w:rPr>
          <w:rFonts w:asciiTheme="minorEastAsia" w:eastAsiaTheme="minorEastAsia" w:hAnsiTheme="minorEastAsia" w:hint="eastAsia"/>
          <w:b/>
          <w:bCs/>
          <w:spacing w:val="-10"/>
          <w:kern w:val="0"/>
          <w:sz w:val="28"/>
          <w:szCs w:val="28"/>
        </w:rPr>
        <w:t xml:space="preserve">⒊ </w:t>
      </w:r>
      <w:r>
        <w:rPr>
          <w:rFonts w:asciiTheme="minorEastAsia" w:eastAsiaTheme="minorEastAsia" w:hAnsiTheme="minorEastAsia" w:hint="eastAsia"/>
          <w:spacing w:val="-10"/>
          <w:kern w:val="0"/>
          <w:sz w:val="28"/>
          <w:szCs w:val="28"/>
        </w:rPr>
        <w:t>创新点</w:t>
      </w:r>
    </w:p>
    <w:p w14:paraId="478505BF" w14:textId="7BF02618"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本成果在构筑自主培养创新人才高地、摆脱复杂国际环境对自主培养国际一流创新人才的束缚等方面，</w:t>
      </w:r>
      <w:r w:rsidR="00832F14">
        <w:rPr>
          <w:rFonts w:asciiTheme="minorEastAsia" w:eastAsiaTheme="minorEastAsia" w:hAnsiTheme="minorEastAsia" w:hint="eastAsia"/>
          <w:spacing w:val="-10"/>
          <w:kern w:val="0"/>
          <w:sz w:val="24"/>
        </w:rPr>
        <w:t>开展了</w:t>
      </w:r>
      <w:r>
        <w:rPr>
          <w:rFonts w:asciiTheme="minorEastAsia" w:eastAsiaTheme="minorEastAsia" w:hAnsiTheme="minorEastAsia" w:hint="eastAsia"/>
          <w:spacing w:val="-10"/>
          <w:kern w:val="0"/>
          <w:sz w:val="24"/>
        </w:rPr>
        <w:t>一些创新性</w:t>
      </w:r>
      <w:r w:rsidR="00832F14">
        <w:rPr>
          <w:rFonts w:asciiTheme="minorEastAsia" w:eastAsiaTheme="minorEastAsia" w:hAnsiTheme="minorEastAsia" w:hint="eastAsia"/>
          <w:spacing w:val="-10"/>
          <w:kern w:val="0"/>
          <w:sz w:val="24"/>
        </w:rPr>
        <w:t>举措</w:t>
      </w:r>
      <w:r>
        <w:rPr>
          <w:rFonts w:asciiTheme="minorEastAsia" w:eastAsiaTheme="minorEastAsia" w:hAnsiTheme="minorEastAsia" w:hint="eastAsia"/>
          <w:spacing w:val="-10"/>
          <w:kern w:val="0"/>
          <w:sz w:val="24"/>
        </w:rPr>
        <w:t>，打通了束缚研究生培养的相关堵点和卡点，落实了高质量自主培养国际一流创新人才。</w:t>
      </w:r>
    </w:p>
    <w:p w14:paraId="553A3E50" w14:textId="77777777" w:rsidR="00870EF7" w:rsidRDefault="00A15C35">
      <w:pPr>
        <w:spacing w:line="360" w:lineRule="exact"/>
        <w:ind w:firstLineChars="200" w:firstLine="480"/>
        <w:rPr>
          <w:rFonts w:ascii="仿宋_GB2312" w:eastAsia="仿宋_GB2312"/>
          <w:sz w:val="24"/>
        </w:rPr>
      </w:pPr>
      <w:r>
        <w:rPr>
          <w:rFonts w:ascii="仿宋_GB2312" w:eastAsia="仿宋_GB2312"/>
          <w:sz w:val="24"/>
        </w:rPr>
        <w:t>①</w:t>
      </w:r>
      <w:r>
        <w:rPr>
          <w:rFonts w:ascii="仿宋_GB2312" w:eastAsia="仿宋_GB2312" w:hint="eastAsia"/>
          <w:sz w:val="24"/>
        </w:rPr>
        <w:t>打通束缚</w:t>
      </w:r>
      <w:r>
        <w:rPr>
          <w:rFonts w:ascii="仿宋_GB2312" w:eastAsia="仿宋_GB2312"/>
          <w:sz w:val="24"/>
        </w:rPr>
        <w:t>研究生培养</w:t>
      </w:r>
      <w:r>
        <w:rPr>
          <w:rFonts w:ascii="仿宋_GB2312" w:eastAsia="仿宋_GB2312" w:hint="eastAsia"/>
          <w:sz w:val="24"/>
        </w:rPr>
        <w:t>的堵点卡点，瞄准国家急需与国际一流，引导研究生服务国家战略，建设学科交叉的“电磁空间一体化”课程群与实践环节，自主培养国际一流创新人才</w:t>
      </w:r>
      <w:r>
        <w:rPr>
          <w:rFonts w:ascii="仿宋_GB2312" w:eastAsia="仿宋_GB2312"/>
          <w:sz w:val="24"/>
        </w:rPr>
        <w:t>。</w:t>
      </w:r>
    </w:p>
    <w:p w14:paraId="3675594E" w14:textId="46F26127"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从面向国家急需与国际一流，凝练“电磁空间一体化”的交叉学科方向开始，到聚焦解决卡脖子技术，多种方式引导研究生建立服务国家战略的意愿与行动，建设提升科学研究与工程技术素养、增强“电磁空间一体化”知识储备的课程群，建立有效实施科教</w:t>
      </w:r>
      <w:proofErr w:type="gramStart"/>
      <w:r>
        <w:rPr>
          <w:rFonts w:asciiTheme="minorEastAsia" w:eastAsiaTheme="minorEastAsia" w:hAnsiTheme="minorEastAsia" w:hint="eastAsia"/>
          <w:spacing w:val="-10"/>
          <w:kern w:val="0"/>
          <w:sz w:val="24"/>
        </w:rPr>
        <w:t>融汇</w:t>
      </w:r>
      <w:proofErr w:type="gramEnd"/>
      <w:r>
        <w:rPr>
          <w:rFonts w:asciiTheme="minorEastAsia" w:eastAsiaTheme="minorEastAsia" w:hAnsiTheme="minorEastAsia" w:hint="eastAsia"/>
          <w:spacing w:val="-10"/>
          <w:kern w:val="0"/>
          <w:sz w:val="24"/>
        </w:rPr>
        <w:t>、产教融合、国际助力的研究生科技实践机制，形成了自主培养国际一流创新人才的研究生培养链条，打通了束缚研究生培养过程中的堵点与卡点。</w:t>
      </w:r>
    </w:p>
    <w:p w14:paraId="4EEFE1CC" w14:textId="77777777" w:rsidR="00870EF7" w:rsidRDefault="00A15C35">
      <w:pPr>
        <w:spacing w:line="360" w:lineRule="exact"/>
        <w:ind w:firstLineChars="200" w:firstLine="480"/>
        <w:rPr>
          <w:rFonts w:ascii="仿宋_GB2312" w:eastAsia="仿宋_GB2312"/>
          <w:sz w:val="24"/>
        </w:rPr>
      </w:pPr>
      <w:r>
        <w:rPr>
          <w:rFonts w:ascii="仿宋_GB2312" w:eastAsia="仿宋_GB2312"/>
          <w:sz w:val="24"/>
        </w:rPr>
        <w:t>②</w:t>
      </w:r>
      <w:r>
        <w:rPr>
          <w:rFonts w:ascii="仿宋_GB2312" w:eastAsia="仿宋_GB2312" w:hint="eastAsia"/>
          <w:sz w:val="24"/>
        </w:rPr>
        <w:t>与国家重点单位合作建设培养基地，研究生全程参与重大科研项目的研发、</w:t>
      </w:r>
      <w:r>
        <w:rPr>
          <w:rFonts w:ascii="仿宋_GB2312" w:eastAsia="仿宋_GB2312" w:hint="eastAsia"/>
          <w:sz w:val="24"/>
        </w:rPr>
        <w:lastRenderedPageBreak/>
        <w:t>全程参与解决国家急需的“真问题”，深度实施科教</w:t>
      </w:r>
      <w:proofErr w:type="gramStart"/>
      <w:r>
        <w:rPr>
          <w:rFonts w:ascii="仿宋_GB2312" w:eastAsia="仿宋_GB2312" w:hint="eastAsia"/>
          <w:sz w:val="24"/>
        </w:rPr>
        <w:t>融汇</w:t>
      </w:r>
      <w:proofErr w:type="gramEnd"/>
      <w:r>
        <w:rPr>
          <w:rFonts w:ascii="仿宋_GB2312" w:eastAsia="仿宋_GB2312" w:hint="eastAsia"/>
          <w:sz w:val="24"/>
        </w:rPr>
        <w:t>与产教融合，锤炼研究生的学术与工程创新能力。</w:t>
      </w:r>
    </w:p>
    <w:p w14:paraId="63B62E7E" w14:textId="4DC4FBF2" w:rsidR="00870EF7" w:rsidRDefault="00832F14">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在</w:t>
      </w:r>
      <w:r w:rsidR="00A15C35">
        <w:rPr>
          <w:rFonts w:asciiTheme="minorEastAsia" w:eastAsiaTheme="minorEastAsia" w:hAnsiTheme="minorEastAsia" w:hint="eastAsia"/>
          <w:spacing w:val="-10"/>
          <w:kern w:val="0"/>
          <w:sz w:val="24"/>
        </w:rPr>
        <w:t>“电磁空间一体化”的交叉学科方向建立了</w:t>
      </w:r>
      <w:r>
        <w:rPr>
          <w:rFonts w:asciiTheme="minorEastAsia" w:eastAsiaTheme="minorEastAsia" w:hAnsiTheme="minorEastAsia" w:hint="eastAsia"/>
          <w:spacing w:val="-10"/>
          <w:kern w:val="0"/>
          <w:sz w:val="24"/>
        </w:rPr>
        <w:t>国家龙头企业、重点军工单位</w:t>
      </w:r>
      <w:r w:rsidR="00A15C35">
        <w:rPr>
          <w:rFonts w:asciiTheme="minorEastAsia" w:eastAsiaTheme="minorEastAsia" w:hAnsiTheme="minorEastAsia" w:hint="eastAsia"/>
          <w:spacing w:val="-10"/>
          <w:kern w:val="0"/>
          <w:sz w:val="24"/>
        </w:rPr>
        <w:t>的研究生实践基地，研究生通过全程参与校内外重大科研项目的研发、全程参与解决国家战略急需的“真问题”，锤炼学术创新能力与工程创新能力，获得创新性成果。</w:t>
      </w:r>
    </w:p>
    <w:p w14:paraId="5F227A61" w14:textId="77777777" w:rsidR="00870EF7" w:rsidRDefault="00A15C35" w:rsidP="00FA67C5">
      <w:pPr>
        <w:pStyle w:val="ab"/>
        <w:spacing w:line="360" w:lineRule="exact"/>
        <w:ind w:firstLine="480"/>
        <w:rPr>
          <w:rFonts w:ascii="仿宋_GB2312" w:eastAsia="仿宋_GB2312"/>
          <w:sz w:val="24"/>
        </w:rPr>
      </w:pPr>
      <w:r>
        <w:rPr>
          <w:rFonts w:ascii="仿宋_GB2312" w:eastAsia="仿宋_GB2312"/>
          <w:sz w:val="24"/>
        </w:rPr>
        <w:t>③</w:t>
      </w:r>
      <w:r>
        <w:rPr>
          <w:rFonts w:ascii="仿宋_GB2312" w:eastAsia="仿宋_GB2312" w:hint="eastAsia"/>
          <w:sz w:val="24"/>
        </w:rPr>
        <w:t>主办国际会议与国际一流期刊，作为电磁领域国际拓展平台，提升研究生的国际竞争力</w:t>
      </w:r>
      <w:r>
        <w:rPr>
          <w:rFonts w:ascii="仿宋_GB2312" w:eastAsia="仿宋_GB2312"/>
          <w:sz w:val="24"/>
        </w:rPr>
        <w:t>。</w:t>
      </w:r>
    </w:p>
    <w:p w14:paraId="48BDB693" w14:textId="5C531226"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“电磁空间一体化”交叉学科方向的</w:t>
      </w:r>
      <w:r w:rsidR="00832F14">
        <w:rPr>
          <w:rFonts w:asciiTheme="minorEastAsia" w:eastAsiaTheme="minorEastAsia" w:hAnsiTheme="minorEastAsia" w:hint="eastAsia"/>
          <w:spacing w:val="-10"/>
          <w:kern w:val="0"/>
          <w:sz w:val="24"/>
        </w:rPr>
        <w:t>科研团队</w:t>
      </w:r>
      <w:r>
        <w:rPr>
          <w:rFonts w:asciiTheme="minorEastAsia" w:eastAsiaTheme="minorEastAsia" w:hAnsiTheme="minorEastAsia" w:hint="eastAsia"/>
          <w:spacing w:val="-10"/>
          <w:kern w:val="0"/>
          <w:sz w:val="24"/>
        </w:rPr>
        <w:t>，经过</w:t>
      </w:r>
      <w:r w:rsidR="00832F14">
        <w:rPr>
          <w:rFonts w:asciiTheme="minorEastAsia" w:eastAsiaTheme="minorEastAsia" w:hAnsiTheme="minorEastAsia" w:hint="eastAsia"/>
          <w:spacing w:val="-10"/>
          <w:kern w:val="0"/>
          <w:sz w:val="24"/>
        </w:rPr>
        <w:t>多年努力</w:t>
      </w:r>
      <w:r>
        <w:rPr>
          <w:rFonts w:asciiTheme="minorEastAsia" w:eastAsiaTheme="minorEastAsia" w:hAnsiTheme="minorEastAsia" w:hint="eastAsia"/>
          <w:spacing w:val="-10"/>
          <w:kern w:val="0"/>
          <w:sz w:val="24"/>
        </w:rPr>
        <w:t>，主办</w:t>
      </w:r>
      <w:r w:rsidR="00832F14">
        <w:rPr>
          <w:rFonts w:asciiTheme="minorEastAsia" w:eastAsiaTheme="minorEastAsia" w:hAnsiTheme="minorEastAsia" w:hint="eastAsia"/>
          <w:spacing w:val="-10"/>
          <w:kern w:val="0"/>
          <w:sz w:val="24"/>
        </w:rPr>
        <w:t>了中科院</w:t>
      </w:r>
      <w:r>
        <w:rPr>
          <w:rFonts w:asciiTheme="minorEastAsia" w:eastAsiaTheme="minorEastAsia" w:hAnsiTheme="minorEastAsia" w:hint="eastAsia"/>
          <w:spacing w:val="-10"/>
          <w:kern w:val="0"/>
          <w:sz w:val="24"/>
        </w:rPr>
        <w:t>一区</w:t>
      </w:r>
      <w:r w:rsidR="00832F14">
        <w:rPr>
          <w:rFonts w:asciiTheme="minorEastAsia" w:eastAsiaTheme="minorEastAsia" w:hAnsiTheme="minorEastAsia" w:hint="eastAsia"/>
          <w:spacing w:val="-10"/>
          <w:kern w:val="0"/>
          <w:sz w:val="24"/>
        </w:rPr>
        <w:t>高水平国际</w:t>
      </w:r>
      <w:r>
        <w:rPr>
          <w:rFonts w:asciiTheme="minorEastAsia" w:eastAsiaTheme="minorEastAsia" w:hAnsiTheme="minorEastAsia" w:hint="eastAsia"/>
          <w:spacing w:val="-10"/>
          <w:kern w:val="0"/>
          <w:sz w:val="24"/>
        </w:rPr>
        <w:t>期刊</w:t>
      </w:r>
      <w:r w:rsidR="00E27002" w:rsidRPr="00E27002">
        <w:rPr>
          <w:rFonts w:asciiTheme="minorEastAsia" w:eastAsiaTheme="minorEastAsia" w:hAnsiTheme="minorEastAsia"/>
          <w:spacing w:val="-10"/>
          <w:kern w:val="0"/>
          <w:sz w:val="24"/>
        </w:rPr>
        <w:t>Progress</w:t>
      </w:r>
      <w:r w:rsidR="00E27002">
        <w:rPr>
          <w:rFonts w:asciiTheme="minorEastAsia" w:eastAsiaTheme="minorEastAsia" w:hAnsiTheme="minorEastAsia"/>
          <w:spacing w:val="-10"/>
          <w:kern w:val="0"/>
          <w:sz w:val="24"/>
        </w:rPr>
        <w:t xml:space="preserve"> </w:t>
      </w:r>
      <w:r w:rsidR="00E27002" w:rsidRPr="00E27002">
        <w:rPr>
          <w:rFonts w:asciiTheme="minorEastAsia" w:eastAsiaTheme="minorEastAsia" w:hAnsiTheme="minorEastAsia"/>
          <w:spacing w:val="-10"/>
          <w:kern w:val="0"/>
          <w:sz w:val="24"/>
        </w:rPr>
        <w:t>In</w:t>
      </w:r>
      <w:r w:rsidR="00E27002">
        <w:rPr>
          <w:rFonts w:asciiTheme="minorEastAsia" w:eastAsiaTheme="minorEastAsia" w:hAnsiTheme="minorEastAsia"/>
          <w:spacing w:val="-10"/>
          <w:kern w:val="0"/>
          <w:sz w:val="24"/>
        </w:rPr>
        <w:t xml:space="preserve"> </w:t>
      </w:r>
      <w:r w:rsidR="00E27002" w:rsidRPr="00E27002">
        <w:rPr>
          <w:rFonts w:asciiTheme="minorEastAsia" w:eastAsiaTheme="minorEastAsia" w:hAnsiTheme="minorEastAsia"/>
          <w:spacing w:val="-10"/>
          <w:kern w:val="0"/>
          <w:sz w:val="24"/>
        </w:rPr>
        <w:t>Electromagnetics</w:t>
      </w:r>
      <w:r w:rsidR="00E27002">
        <w:rPr>
          <w:rFonts w:asciiTheme="minorEastAsia" w:eastAsiaTheme="minorEastAsia" w:hAnsiTheme="minorEastAsia"/>
          <w:spacing w:val="-10"/>
          <w:kern w:val="0"/>
          <w:sz w:val="24"/>
        </w:rPr>
        <w:t xml:space="preserve"> </w:t>
      </w:r>
      <w:r w:rsidR="00E27002" w:rsidRPr="00E27002">
        <w:rPr>
          <w:rFonts w:asciiTheme="minorEastAsia" w:eastAsiaTheme="minorEastAsia" w:hAnsiTheme="minorEastAsia"/>
          <w:spacing w:val="-10"/>
          <w:kern w:val="0"/>
          <w:sz w:val="24"/>
        </w:rPr>
        <w:t>Research</w:t>
      </w:r>
      <w:r>
        <w:rPr>
          <w:rFonts w:asciiTheme="minorEastAsia" w:eastAsiaTheme="minorEastAsia" w:hAnsiTheme="minorEastAsia" w:hint="eastAsia"/>
          <w:spacing w:val="-10"/>
          <w:kern w:val="0"/>
          <w:sz w:val="24"/>
        </w:rPr>
        <w:t>（PIER），每年主办电磁领域国际一流的学术会议</w:t>
      </w:r>
      <w:proofErr w:type="spellStart"/>
      <w:r w:rsidR="00E27002" w:rsidRPr="00E27002">
        <w:rPr>
          <w:rFonts w:asciiTheme="minorEastAsia" w:eastAsiaTheme="minorEastAsia" w:hAnsiTheme="minorEastAsia"/>
          <w:spacing w:val="-10"/>
          <w:kern w:val="0"/>
          <w:sz w:val="24"/>
        </w:rPr>
        <w:t>PhotonIcs</w:t>
      </w:r>
      <w:proofErr w:type="spellEnd"/>
      <w:r w:rsidR="00E27002" w:rsidRPr="00E27002">
        <w:rPr>
          <w:rFonts w:asciiTheme="minorEastAsia" w:eastAsiaTheme="minorEastAsia" w:hAnsiTheme="minorEastAsia"/>
          <w:spacing w:val="-10"/>
          <w:kern w:val="0"/>
          <w:sz w:val="24"/>
        </w:rPr>
        <w:t xml:space="preserve"> and Electromagnetics Research Symposium</w:t>
      </w:r>
      <w:r w:rsidR="00735383">
        <w:rPr>
          <w:rFonts w:asciiTheme="minorEastAsia" w:eastAsiaTheme="minorEastAsia" w:hAnsiTheme="minorEastAsia"/>
          <w:spacing w:val="-10"/>
          <w:kern w:val="0"/>
          <w:sz w:val="24"/>
        </w:rPr>
        <w:t xml:space="preserve"> </w:t>
      </w:r>
      <w:r w:rsidR="00E27002">
        <w:rPr>
          <w:rFonts w:asciiTheme="minorEastAsia" w:eastAsiaTheme="minorEastAsia" w:hAnsiTheme="minorEastAsia" w:hint="eastAsia"/>
          <w:spacing w:val="-10"/>
          <w:kern w:val="0"/>
          <w:sz w:val="24"/>
        </w:rPr>
        <w:t>（PIER</w:t>
      </w:r>
      <w:r w:rsidR="00E27002">
        <w:rPr>
          <w:rFonts w:asciiTheme="minorEastAsia" w:eastAsiaTheme="minorEastAsia" w:hAnsiTheme="minorEastAsia"/>
          <w:spacing w:val="-10"/>
          <w:kern w:val="0"/>
          <w:sz w:val="24"/>
        </w:rPr>
        <w:t>S</w:t>
      </w:r>
      <w:r w:rsidR="00E27002">
        <w:rPr>
          <w:rFonts w:asciiTheme="minorEastAsia" w:eastAsiaTheme="minorEastAsia" w:hAnsiTheme="minorEastAsia" w:hint="eastAsia"/>
          <w:spacing w:val="-10"/>
          <w:kern w:val="0"/>
          <w:sz w:val="24"/>
        </w:rPr>
        <w:t>）</w:t>
      </w:r>
      <w:r>
        <w:rPr>
          <w:rFonts w:asciiTheme="minorEastAsia" w:eastAsiaTheme="minorEastAsia" w:hAnsiTheme="minorEastAsia" w:hint="eastAsia"/>
          <w:spacing w:val="-10"/>
          <w:kern w:val="0"/>
          <w:sz w:val="24"/>
        </w:rPr>
        <w:t>，为研究生创造了</w:t>
      </w:r>
      <w:r w:rsidR="00832F14">
        <w:rPr>
          <w:rFonts w:asciiTheme="minorEastAsia" w:eastAsiaTheme="minorEastAsia" w:hAnsiTheme="minorEastAsia" w:hint="eastAsia"/>
          <w:spacing w:val="-10"/>
          <w:kern w:val="0"/>
          <w:sz w:val="24"/>
        </w:rPr>
        <w:t>世界</w:t>
      </w:r>
      <w:r>
        <w:rPr>
          <w:rFonts w:asciiTheme="minorEastAsia" w:eastAsiaTheme="minorEastAsia" w:hAnsiTheme="minorEastAsia" w:hint="eastAsia"/>
          <w:spacing w:val="-10"/>
          <w:kern w:val="0"/>
          <w:sz w:val="24"/>
        </w:rPr>
        <w:t>一流的国际学术拓展平台，有效提升研究生的国际竞争力。</w:t>
      </w:r>
    </w:p>
    <w:p w14:paraId="31120F5A" w14:textId="77777777" w:rsidR="00870EF7" w:rsidRDefault="00A15C35">
      <w:pPr>
        <w:pStyle w:val="ab"/>
        <w:ind w:firstLineChars="0" w:firstLine="0"/>
        <w:rPr>
          <w:rFonts w:asciiTheme="minorEastAsia" w:eastAsiaTheme="minorEastAsia" w:hAnsiTheme="minorEastAsia"/>
          <w:spacing w:val="-10"/>
          <w:kern w:val="0"/>
          <w:sz w:val="28"/>
          <w:szCs w:val="28"/>
        </w:rPr>
      </w:pPr>
      <w:r>
        <w:rPr>
          <w:rFonts w:asciiTheme="minorEastAsia" w:eastAsiaTheme="minorEastAsia" w:hAnsiTheme="minorEastAsia" w:hint="eastAsia"/>
          <w:b/>
          <w:bCs/>
          <w:spacing w:val="-10"/>
          <w:kern w:val="0"/>
          <w:sz w:val="28"/>
          <w:szCs w:val="28"/>
        </w:rPr>
        <w:t xml:space="preserve">⒋ </w:t>
      </w:r>
      <w:r>
        <w:rPr>
          <w:rFonts w:asciiTheme="minorEastAsia" w:eastAsiaTheme="minorEastAsia" w:hAnsiTheme="minorEastAsia" w:hint="eastAsia"/>
          <w:spacing w:val="-10"/>
          <w:kern w:val="0"/>
          <w:sz w:val="28"/>
          <w:szCs w:val="28"/>
        </w:rPr>
        <w:t>推广应用成果及贡献</w:t>
      </w:r>
    </w:p>
    <w:p w14:paraId="1CE3C365" w14:textId="2D78268A"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本成果的实践应用，获得了</w:t>
      </w:r>
      <w:r w:rsidR="00D3195F">
        <w:rPr>
          <w:rFonts w:asciiTheme="minorEastAsia" w:eastAsiaTheme="minorEastAsia" w:hAnsiTheme="minorEastAsia" w:hint="eastAsia"/>
          <w:spacing w:val="-10"/>
          <w:kern w:val="0"/>
          <w:sz w:val="24"/>
        </w:rPr>
        <w:t>显著</w:t>
      </w:r>
      <w:r>
        <w:rPr>
          <w:rFonts w:asciiTheme="minorEastAsia" w:eastAsiaTheme="minorEastAsia" w:hAnsiTheme="minorEastAsia" w:hint="eastAsia"/>
          <w:spacing w:val="-10"/>
          <w:kern w:val="0"/>
          <w:sz w:val="24"/>
        </w:rPr>
        <w:t>成效。“电磁空间一体化”</w:t>
      </w:r>
      <w:r w:rsidR="001F7D68">
        <w:rPr>
          <w:rFonts w:asciiTheme="minorEastAsia" w:eastAsiaTheme="minorEastAsia" w:hAnsiTheme="minorEastAsia" w:hint="eastAsia"/>
          <w:spacing w:val="-10"/>
          <w:kern w:val="0"/>
          <w:sz w:val="24"/>
        </w:rPr>
        <w:t>团队</w:t>
      </w:r>
      <w:r>
        <w:rPr>
          <w:rFonts w:asciiTheme="minorEastAsia" w:eastAsiaTheme="minorEastAsia" w:hAnsiTheme="minorEastAsia" w:hint="eastAsia"/>
          <w:spacing w:val="-10"/>
          <w:kern w:val="0"/>
          <w:sz w:val="24"/>
        </w:rPr>
        <w:t>有12位导师，近5年共培养116名博士和硕士，研究生获得了</w:t>
      </w:r>
      <w:r w:rsidR="001F7D68">
        <w:rPr>
          <w:rFonts w:asciiTheme="minorEastAsia" w:eastAsiaTheme="minorEastAsia" w:hAnsiTheme="minorEastAsia" w:hint="eastAsia"/>
          <w:spacing w:val="-10"/>
          <w:kern w:val="0"/>
          <w:sz w:val="24"/>
        </w:rPr>
        <w:t>众多</w:t>
      </w:r>
      <w:r>
        <w:rPr>
          <w:rFonts w:asciiTheme="minorEastAsia" w:eastAsiaTheme="minorEastAsia" w:hAnsiTheme="minorEastAsia" w:hint="eastAsia"/>
          <w:spacing w:val="-10"/>
          <w:kern w:val="0"/>
          <w:sz w:val="24"/>
        </w:rPr>
        <w:t>国际一流的创新性成果。</w:t>
      </w:r>
    </w:p>
    <w:p w14:paraId="2B17FAC0" w14:textId="51EAAF81" w:rsidR="000C7FD1" w:rsidRDefault="000C7FD1" w:rsidP="000C7FD1">
      <w:pPr>
        <w:spacing w:line="360" w:lineRule="exact"/>
        <w:ind w:firstLineChars="200" w:firstLine="480"/>
        <w:rPr>
          <w:rFonts w:ascii="仿宋_GB2312" w:eastAsia="仿宋_GB2312"/>
          <w:sz w:val="24"/>
        </w:rPr>
      </w:pPr>
      <w:r>
        <w:rPr>
          <w:rFonts w:ascii="宋体" w:hAnsi="宋体" w:cs="宋体" w:hint="eastAsia"/>
          <w:sz w:val="24"/>
        </w:rPr>
        <w:t>①</w:t>
      </w:r>
      <w:r>
        <w:rPr>
          <w:rFonts w:ascii="仿宋_GB2312" w:eastAsia="仿宋_GB2312" w:hint="eastAsia"/>
          <w:sz w:val="24"/>
        </w:rPr>
        <w:t>在读研究生：研发耦合噪声抑制技术用于XX</w:t>
      </w:r>
      <w:r w:rsidR="00C8337C">
        <w:rPr>
          <w:rFonts w:ascii="仿宋_GB2312" w:eastAsia="仿宋_GB2312"/>
          <w:sz w:val="24"/>
        </w:rPr>
        <w:t>X</w:t>
      </w:r>
      <w:r>
        <w:rPr>
          <w:rFonts w:ascii="仿宋_GB2312" w:eastAsia="仿宋_GB2312" w:hint="eastAsia"/>
          <w:sz w:val="24"/>
        </w:rPr>
        <w:t>型号</w:t>
      </w:r>
      <w:r w:rsidR="001F7D68">
        <w:rPr>
          <w:rFonts w:ascii="仿宋_GB2312" w:eastAsia="仿宋_GB2312" w:hint="eastAsia"/>
          <w:sz w:val="24"/>
        </w:rPr>
        <w:t>，</w:t>
      </w:r>
      <w:r>
        <w:rPr>
          <w:rFonts w:ascii="仿宋_GB2312" w:eastAsia="仿宋_GB2312" w:hint="eastAsia"/>
          <w:sz w:val="24"/>
        </w:rPr>
        <w:t>相关</w:t>
      </w:r>
      <w:r w:rsidRPr="001055E7">
        <w:rPr>
          <w:rFonts w:ascii="仿宋_GB2312" w:eastAsia="仿宋_GB2312" w:hint="eastAsia"/>
          <w:sz w:val="24"/>
        </w:rPr>
        <w:t>性能提高了10余倍</w:t>
      </w:r>
      <w:r>
        <w:rPr>
          <w:rFonts w:ascii="仿宋_GB2312" w:eastAsia="仿宋_GB2312" w:hint="eastAsia"/>
          <w:sz w:val="24"/>
        </w:rPr>
        <w:t>，第一作者发表Nature、Science子刊论文12篇，获国家自然科学博士生基金2项、全国</w:t>
      </w:r>
      <w:proofErr w:type="gramStart"/>
      <w:r>
        <w:rPr>
          <w:rFonts w:ascii="仿宋_GB2312" w:eastAsia="仿宋_GB2312" w:hint="eastAsia"/>
          <w:sz w:val="24"/>
        </w:rPr>
        <w:t>超材料</w:t>
      </w:r>
      <w:proofErr w:type="gramEnd"/>
      <w:r>
        <w:rPr>
          <w:rFonts w:ascii="仿宋_GB2312" w:eastAsia="仿宋_GB2312" w:hint="eastAsia"/>
          <w:sz w:val="24"/>
        </w:rPr>
        <w:t>大会优秀青年学者奖、国际学术会议最佳论文奖</w:t>
      </w:r>
      <w:r w:rsidR="001055E7">
        <w:rPr>
          <w:rFonts w:ascii="仿宋_GB2312" w:eastAsia="仿宋_GB2312" w:hint="eastAsia"/>
          <w:sz w:val="24"/>
        </w:rPr>
        <w:t>等</w:t>
      </w:r>
      <w:r>
        <w:rPr>
          <w:rFonts w:ascii="仿宋_GB2312" w:eastAsia="仿宋_GB2312" w:hint="eastAsia"/>
          <w:sz w:val="24"/>
        </w:rPr>
        <w:t>13项。</w:t>
      </w:r>
    </w:p>
    <w:p w14:paraId="6E2127C6" w14:textId="2FE33BAC" w:rsidR="00870EF7" w:rsidRDefault="00720352" w:rsidP="000C7FD1">
      <w:pPr>
        <w:spacing w:line="360" w:lineRule="auto"/>
        <w:ind w:firstLineChars="200"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在读研究生</w:t>
      </w:r>
      <w:r w:rsidR="001F7D68">
        <w:rPr>
          <w:rFonts w:asciiTheme="minorEastAsia" w:eastAsiaTheme="minorEastAsia" w:hAnsiTheme="minorEastAsia" w:hint="eastAsia"/>
          <w:spacing w:val="-10"/>
          <w:kern w:val="0"/>
          <w:sz w:val="24"/>
        </w:rPr>
        <w:t>所获得的</w:t>
      </w:r>
      <w:r w:rsidR="00A15C35">
        <w:rPr>
          <w:rFonts w:asciiTheme="minorEastAsia" w:eastAsiaTheme="minorEastAsia" w:hAnsiTheme="minorEastAsia" w:hint="eastAsia"/>
          <w:spacing w:val="-10"/>
          <w:kern w:val="0"/>
          <w:sz w:val="24"/>
        </w:rPr>
        <w:t>IEEE电磁兼容领域国际最高奖—IEEE EMC Society President</w:t>
      </w:r>
      <w:proofErr w:type="gramStart"/>
      <w:r w:rsidR="00A15C35">
        <w:rPr>
          <w:rFonts w:asciiTheme="minorEastAsia" w:eastAsiaTheme="minorEastAsia" w:hAnsiTheme="minorEastAsia" w:hint="eastAsia"/>
          <w:spacing w:val="-10"/>
          <w:kern w:val="0"/>
          <w:sz w:val="24"/>
        </w:rPr>
        <w:t>’</w:t>
      </w:r>
      <w:proofErr w:type="gramEnd"/>
      <w:r w:rsidR="00A15C35">
        <w:rPr>
          <w:rFonts w:asciiTheme="minorEastAsia" w:eastAsiaTheme="minorEastAsia" w:hAnsiTheme="minorEastAsia" w:hint="eastAsia"/>
          <w:spacing w:val="-10"/>
          <w:kern w:val="0"/>
          <w:sz w:val="24"/>
        </w:rPr>
        <w:t>s Memorial Award国际电磁兼容学会主席纪念奖，是中国内地高校研究生首次获得该奖项</w:t>
      </w:r>
      <w:r w:rsidR="00A15C35" w:rsidRPr="00CA31FB">
        <w:rPr>
          <w:rFonts w:asciiTheme="minorEastAsia" w:eastAsiaTheme="minorEastAsia" w:hAnsiTheme="minorEastAsia" w:hint="eastAsia"/>
          <w:spacing w:val="-10"/>
          <w:kern w:val="0"/>
          <w:sz w:val="24"/>
        </w:rPr>
        <w:t>。</w:t>
      </w:r>
      <w:r w:rsidR="00A15C35">
        <w:rPr>
          <w:rFonts w:asciiTheme="minorEastAsia" w:eastAsiaTheme="minorEastAsia" w:hAnsiTheme="minorEastAsia" w:hint="eastAsia"/>
          <w:spacing w:val="-10"/>
          <w:kern w:val="0"/>
          <w:sz w:val="24"/>
        </w:rPr>
        <w:t>本成果的实施，显著提高了国际一流创新人才培养质量，近5年（2019-2023年）研究生发表高水平学术论文比前5年（201</w:t>
      </w:r>
      <w:r w:rsidR="001A1E5A">
        <w:rPr>
          <w:rFonts w:asciiTheme="minorEastAsia" w:eastAsiaTheme="minorEastAsia" w:hAnsiTheme="minorEastAsia"/>
          <w:spacing w:val="-10"/>
          <w:kern w:val="0"/>
          <w:sz w:val="24"/>
        </w:rPr>
        <w:t>4</w:t>
      </w:r>
      <w:r w:rsidR="00A15C35">
        <w:rPr>
          <w:rFonts w:asciiTheme="minorEastAsia" w:eastAsiaTheme="minorEastAsia" w:hAnsiTheme="minorEastAsia" w:hint="eastAsia"/>
          <w:spacing w:val="-10"/>
          <w:kern w:val="0"/>
          <w:sz w:val="24"/>
        </w:rPr>
        <w:t>-20</w:t>
      </w:r>
      <w:r w:rsidR="001A1E5A">
        <w:rPr>
          <w:rFonts w:asciiTheme="minorEastAsia" w:eastAsiaTheme="minorEastAsia" w:hAnsiTheme="minorEastAsia"/>
          <w:spacing w:val="-10"/>
          <w:kern w:val="0"/>
          <w:sz w:val="24"/>
        </w:rPr>
        <w:t>18</w:t>
      </w:r>
      <w:r w:rsidR="00A15C35">
        <w:rPr>
          <w:rFonts w:asciiTheme="minorEastAsia" w:eastAsiaTheme="minorEastAsia" w:hAnsiTheme="minorEastAsia" w:hint="eastAsia"/>
          <w:spacing w:val="-10"/>
          <w:kern w:val="0"/>
          <w:sz w:val="24"/>
        </w:rPr>
        <w:t>年）有显著增长，Nature、Science主刊</w:t>
      </w:r>
      <w:r w:rsidR="001F7D68">
        <w:rPr>
          <w:rFonts w:asciiTheme="minorEastAsia" w:eastAsiaTheme="minorEastAsia" w:hAnsiTheme="minorEastAsia" w:hint="eastAsia"/>
          <w:spacing w:val="-10"/>
          <w:kern w:val="0"/>
          <w:sz w:val="24"/>
        </w:rPr>
        <w:t>论文</w:t>
      </w:r>
      <w:r w:rsidR="00A15C35">
        <w:rPr>
          <w:rFonts w:asciiTheme="minorEastAsia" w:eastAsiaTheme="minorEastAsia" w:hAnsiTheme="minorEastAsia" w:hint="eastAsia"/>
          <w:spacing w:val="-10"/>
          <w:kern w:val="0"/>
          <w:sz w:val="24"/>
        </w:rPr>
        <w:t>从1篇增加到2篇，增长</w:t>
      </w:r>
      <w:r w:rsidR="001055E7">
        <w:rPr>
          <w:rFonts w:asciiTheme="minorEastAsia" w:eastAsiaTheme="minorEastAsia" w:hAnsiTheme="minorEastAsia" w:hint="eastAsia"/>
          <w:spacing w:val="-10"/>
          <w:kern w:val="0"/>
          <w:sz w:val="24"/>
        </w:rPr>
        <w:t>了</w:t>
      </w:r>
      <w:r w:rsidR="00A15C35">
        <w:rPr>
          <w:rFonts w:asciiTheme="minorEastAsia" w:eastAsiaTheme="minorEastAsia" w:hAnsiTheme="minorEastAsia" w:hint="eastAsia"/>
          <w:spacing w:val="-10"/>
          <w:kern w:val="0"/>
          <w:sz w:val="24"/>
        </w:rPr>
        <w:t>100%；Nature、Science子刊</w:t>
      </w:r>
      <w:r w:rsidR="001055E7">
        <w:rPr>
          <w:rFonts w:asciiTheme="minorEastAsia" w:eastAsiaTheme="minorEastAsia" w:hAnsiTheme="minorEastAsia" w:hint="eastAsia"/>
          <w:spacing w:val="-10"/>
          <w:kern w:val="0"/>
          <w:sz w:val="24"/>
        </w:rPr>
        <w:t>论文</w:t>
      </w:r>
      <w:r w:rsidR="00A15C35">
        <w:rPr>
          <w:rFonts w:asciiTheme="minorEastAsia" w:eastAsiaTheme="minorEastAsia" w:hAnsiTheme="minorEastAsia" w:hint="eastAsia"/>
          <w:spacing w:val="-10"/>
          <w:kern w:val="0"/>
          <w:sz w:val="24"/>
        </w:rPr>
        <w:t>从6篇增加到15篇，增长了150%。</w:t>
      </w:r>
    </w:p>
    <w:p w14:paraId="08FFC48E" w14:textId="602DF6E8" w:rsidR="00870EF7" w:rsidRDefault="00A15C35">
      <w:pPr>
        <w:spacing w:line="360" w:lineRule="exact"/>
        <w:ind w:firstLineChars="200" w:firstLine="480"/>
        <w:rPr>
          <w:rFonts w:ascii="仿宋_GB2312" w:eastAsia="仿宋_GB2312"/>
          <w:sz w:val="24"/>
        </w:rPr>
      </w:pPr>
      <w:r>
        <w:rPr>
          <w:rFonts w:ascii="宋体" w:hAnsi="宋体" w:cs="宋体" w:hint="eastAsia"/>
          <w:sz w:val="24"/>
        </w:rPr>
        <w:t>②</w:t>
      </w:r>
      <w:r>
        <w:rPr>
          <w:rFonts w:ascii="仿宋_GB2312" w:eastAsia="仿宋_GB2312" w:hint="eastAsia"/>
          <w:sz w:val="24"/>
        </w:rPr>
        <w:t>学位论文：中国电子学会</w:t>
      </w:r>
      <w:r w:rsidR="00720352">
        <w:rPr>
          <w:rFonts w:ascii="仿宋_GB2312" w:eastAsia="仿宋_GB2312" w:hint="eastAsia"/>
          <w:sz w:val="24"/>
        </w:rPr>
        <w:t>、电子教育学会</w:t>
      </w:r>
      <w:r>
        <w:rPr>
          <w:rFonts w:ascii="仿宋_GB2312" w:eastAsia="仿宋_GB2312" w:hint="eastAsia"/>
          <w:sz w:val="24"/>
        </w:rPr>
        <w:t>及浙江省优博论文5篇、提名2篇，</w:t>
      </w:r>
      <w:proofErr w:type="gramStart"/>
      <w:r>
        <w:rPr>
          <w:rFonts w:ascii="仿宋_GB2312" w:eastAsia="仿宋_GB2312" w:hint="eastAsia"/>
          <w:sz w:val="24"/>
        </w:rPr>
        <w:t>优硕</w:t>
      </w:r>
      <w:r w:rsidR="00720352">
        <w:rPr>
          <w:rFonts w:ascii="仿宋_GB2312" w:eastAsia="仿宋_GB2312" w:hint="eastAsia"/>
          <w:sz w:val="24"/>
        </w:rPr>
        <w:t>论文</w:t>
      </w:r>
      <w:proofErr w:type="gramEnd"/>
      <w:r>
        <w:rPr>
          <w:rFonts w:ascii="仿宋_GB2312" w:eastAsia="仿宋_GB2312" w:hint="eastAsia"/>
          <w:sz w:val="24"/>
        </w:rPr>
        <w:t>3篇</w:t>
      </w:r>
      <w:r>
        <w:rPr>
          <w:rFonts w:ascii="仿宋_GB2312" w:eastAsia="仿宋_GB2312"/>
          <w:sz w:val="24"/>
        </w:rPr>
        <w:t>。</w:t>
      </w:r>
    </w:p>
    <w:p w14:paraId="5724252C" w14:textId="39187F02"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研究生学位论文的质量也显著提高，中国电子学会</w:t>
      </w:r>
      <w:r w:rsidR="00720352">
        <w:rPr>
          <w:rFonts w:asciiTheme="minorEastAsia" w:eastAsiaTheme="minorEastAsia" w:hAnsiTheme="minorEastAsia" w:hint="eastAsia"/>
          <w:spacing w:val="-10"/>
          <w:kern w:val="0"/>
          <w:sz w:val="24"/>
        </w:rPr>
        <w:t>、电子教学学会</w:t>
      </w:r>
      <w:r>
        <w:rPr>
          <w:rFonts w:asciiTheme="minorEastAsia" w:eastAsiaTheme="minorEastAsia" w:hAnsiTheme="minorEastAsia" w:hint="eastAsia"/>
          <w:spacing w:val="-10"/>
          <w:kern w:val="0"/>
          <w:sz w:val="24"/>
        </w:rPr>
        <w:t>和浙江省优秀学位论文，从前5年（201</w:t>
      </w:r>
      <w:r w:rsidR="00720352">
        <w:rPr>
          <w:rFonts w:asciiTheme="minorEastAsia" w:eastAsiaTheme="minorEastAsia" w:hAnsiTheme="minorEastAsia"/>
          <w:spacing w:val="-10"/>
          <w:kern w:val="0"/>
          <w:sz w:val="24"/>
        </w:rPr>
        <w:t>4</w:t>
      </w:r>
      <w:r>
        <w:rPr>
          <w:rFonts w:asciiTheme="minorEastAsia" w:eastAsiaTheme="minorEastAsia" w:hAnsiTheme="minorEastAsia" w:hint="eastAsia"/>
          <w:spacing w:val="-10"/>
          <w:kern w:val="0"/>
          <w:sz w:val="24"/>
        </w:rPr>
        <w:t>-20</w:t>
      </w:r>
      <w:r w:rsidR="00720352">
        <w:rPr>
          <w:rFonts w:asciiTheme="minorEastAsia" w:eastAsiaTheme="minorEastAsia" w:hAnsiTheme="minorEastAsia"/>
          <w:spacing w:val="-10"/>
          <w:kern w:val="0"/>
          <w:sz w:val="24"/>
        </w:rPr>
        <w:t>18</w:t>
      </w:r>
      <w:r>
        <w:rPr>
          <w:rFonts w:asciiTheme="minorEastAsia" w:eastAsiaTheme="minorEastAsia" w:hAnsiTheme="minorEastAsia" w:hint="eastAsia"/>
          <w:spacing w:val="-10"/>
          <w:kern w:val="0"/>
          <w:sz w:val="24"/>
        </w:rPr>
        <w:t>年）的3篇，增加到近5年（2019-2023年）的7篇，增长了130%。</w:t>
      </w:r>
    </w:p>
    <w:p w14:paraId="20B2DB8F" w14:textId="77777777" w:rsidR="00870EF7" w:rsidRDefault="00A15C35" w:rsidP="00491322">
      <w:pPr>
        <w:pStyle w:val="ab"/>
        <w:spacing w:line="360" w:lineRule="exact"/>
        <w:ind w:firstLine="480"/>
        <w:rPr>
          <w:rFonts w:ascii="仿宋_GB2312" w:eastAsia="仿宋_GB2312"/>
          <w:sz w:val="24"/>
        </w:rPr>
      </w:pPr>
      <w:r>
        <w:rPr>
          <w:rFonts w:ascii="仿宋_GB2312" w:eastAsia="仿宋_GB2312"/>
          <w:sz w:val="24"/>
        </w:rPr>
        <w:t>③</w:t>
      </w:r>
      <w:r>
        <w:rPr>
          <w:rFonts w:ascii="仿宋_GB2312" w:eastAsia="仿宋_GB2312" w:hint="eastAsia"/>
          <w:sz w:val="24"/>
        </w:rPr>
        <w:t>毕业生：国家四</w:t>
      </w:r>
      <w:proofErr w:type="gramStart"/>
      <w:r>
        <w:rPr>
          <w:rFonts w:ascii="仿宋_GB2312" w:eastAsia="仿宋_GB2312" w:hint="eastAsia"/>
          <w:sz w:val="24"/>
        </w:rPr>
        <w:t>青人才</w:t>
      </w:r>
      <w:proofErr w:type="gramEnd"/>
      <w:r>
        <w:rPr>
          <w:rFonts w:ascii="仿宋_GB2312" w:eastAsia="仿宋_GB2312" w:hint="eastAsia"/>
          <w:sz w:val="24"/>
        </w:rPr>
        <w:t>3人，中国科协青年托举人才3</w:t>
      </w:r>
      <w:r>
        <w:rPr>
          <w:rFonts w:ascii="仿宋_GB2312" w:eastAsia="仿宋_GB2312"/>
          <w:sz w:val="24"/>
        </w:rPr>
        <w:t>人</w:t>
      </w:r>
      <w:r>
        <w:rPr>
          <w:rFonts w:ascii="仿宋_GB2312" w:eastAsia="仿宋_GB2312" w:hint="eastAsia"/>
          <w:sz w:val="24"/>
        </w:rPr>
        <w:t>，4人获教育部及省级自然科学一等奖，1人获中国光学工程学会自然科学一等奖</w:t>
      </w:r>
      <w:r>
        <w:rPr>
          <w:rFonts w:ascii="仿宋_GB2312" w:eastAsia="仿宋_GB2312"/>
          <w:sz w:val="24"/>
        </w:rPr>
        <w:t>。</w:t>
      </w:r>
    </w:p>
    <w:p w14:paraId="089DB6DF" w14:textId="35C14551" w:rsidR="00870EF7" w:rsidRDefault="00A15C35">
      <w:pPr>
        <w:pStyle w:val="ab"/>
        <w:spacing w:line="360" w:lineRule="auto"/>
        <w:ind w:leftChars="-1" w:left="-2" w:firstLine="440"/>
        <w:rPr>
          <w:rFonts w:asciiTheme="minorEastAsia" w:eastAsiaTheme="minorEastAsia" w:hAnsiTheme="minorEastAsia"/>
          <w:spacing w:val="-10"/>
          <w:kern w:val="0"/>
          <w:sz w:val="24"/>
        </w:rPr>
      </w:pPr>
      <w:r>
        <w:rPr>
          <w:rFonts w:asciiTheme="minorEastAsia" w:eastAsiaTheme="minorEastAsia" w:hAnsiTheme="minorEastAsia" w:hint="eastAsia"/>
          <w:spacing w:val="-10"/>
          <w:kern w:val="0"/>
          <w:sz w:val="24"/>
        </w:rPr>
        <w:t>④服务国家战略：毕业生赴国家重点单位就业人数</w:t>
      </w:r>
      <w:r w:rsidR="00D2112C">
        <w:rPr>
          <w:rFonts w:asciiTheme="minorEastAsia" w:eastAsiaTheme="minorEastAsia" w:hAnsiTheme="minorEastAsia" w:hint="eastAsia"/>
          <w:spacing w:val="-10"/>
          <w:kern w:val="0"/>
          <w:sz w:val="24"/>
        </w:rPr>
        <w:t>共</w:t>
      </w:r>
      <w:r w:rsidR="00D26265" w:rsidRPr="002324F0">
        <w:rPr>
          <w:rFonts w:asciiTheme="minorEastAsia" w:eastAsiaTheme="minorEastAsia" w:hAnsiTheme="minorEastAsia"/>
          <w:spacing w:val="-10"/>
          <w:kern w:val="0"/>
          <w:sz w:val="24"/>
        </w:rPr>
        <w:t>101</w:t>
      </w:r>
      <w:r>
        <w:rPr>
          <w:rFonts w:asciiTheme="minorEastAsia" w:eastAsiaTheme="minorEastAsia" w:hAnsiTheme="minorEastAsia" w:hint="eastAsia"/>
          <w:spacing w:val="-10"/>
          <w:kern w:val="0"/>
          <w:sz w:val="24"/>
        </w:rPr>
        <w:t>人</w:t>
      </w:r>
      <w:r w:rsidR="00D26265">
        <w:rPr>
          <w:rFonts w:asciiTheme="minorEastAsia" w:eastAsiaTheme="minorEastAsia" w:hAnsiTheme="minorEastAsia" w:hint="eastAsia"/>
          <w:spacing w:val="-10"/>
          <w:kern w:val="0"/>
          <w:sz w:val="24"/>
        </w:rPr>
        <w:t>，其中博士研究生5</w:t>
      </w:r>
      <w:r w:rsidR="00D26265">
        <w:rPr>
          <w:rFonts w:asciiTheme="minorEastAsia" w:eastAsiaTheme="minorEastAsia" w:hAnsiTheme="minorEastAsia"/>
          <w:spacing w:val="-10"/>
          <w:kern w:val="0"/>
          <w:sz w:val="24"/>
        </w:rPr>
        <w:t>3</w:t>
      </w:r>
      <w:r w:rsidR="00D26265">
        <w:rPr>
          <w:rFonts w:asciiTheme="minorEastAsia" w:eastAsiaTheme="minorEastAsia" w:hAnsiTheme="minorEastAsia" w:hint="eastAsia"/>
          <w:spacing w:val="-10"/>
          <w:kern w:val="0"/>
          <w:sz w:val="24"/>
        </w:rPr>
        <w:t>人</w:t>
      </w:r>
      <w:r>
        <w:rPr>
          <w:rFonts w:asciiTheme="minorEastAsia" w:eastAsiaTheme="minorEastAsia" w:hAnsiTheme="minorEastAsia" w:hint="eastAsia"/>
          <w:spacing w:val="-10"/>
          <w:kern w:val="0"/>
          <w:sz w:val="24"/>
        </w:rPr>
        <w:t>；毕业生赴浙江省科学技术厅挂职，协助完成研究院法人登记、实验室保障政策制定、</w:t>
      </w:r>
      <w:r>
        <w:rPr>
          <w:rFonts w:asciiTheme="minorEastAsia" w:eastAsiaTheme="minorEastAsia" w:hAnsiTheme="minorEastAsia" w:hint="eastAsia"/>
          <w:spacing w:val="-10"/>
          <w:kern w:val="0"/>
          <w:sz w:val="24"/>
        </w:rPr>
        <w:lastRenderedPageBreak/>
        <w:t>实验室挂牌活动保障等工作，为浙江省国家实验室实现零的突破做出</w:t>
      </w:r>
      <w:r w:rsidR="00491322">
        <w:rPr>
          <w:rFonts w:asciiTheme="minorEastAsia" w:eastAsiaTheme="minorEastAsia" w:hAnsiTheme="minorEastAsia" w:hint="eastAsia"/>
          <w:spacing w:val="-10"/>
          <w:kern w:val="0"/>
          <w:sz w:val="24"/>
        </w:rPr>
        <w:t>了</w:t>
      </w:r>
      <w:r>
        <w:rPr>
          <w:rFonts w:asciiTheme="minorEastAsia" w:eastAsiaTheme="minorEastAsia" w:hAnsiTheme="minorEastAsia" w:hint="eastAsia"/>
          <w:spacing w:val="-10"/>
          <w:kern w:val="0"/>
          <w:sz w:val="24"/>
        </w:rPr>
        <w:t>贡献；成立中国航空工业集团济南特种结构研究所-浙江大学联合实验室，开展电磁功能结构领域的科研合作与人才培养实践。</w:t>
      </w:r>
    </w:p>
    <w:p w14:paraId="56F04278" w14:textId="3FE1D0EE" w:rsidR="00E05E4D" w:rsidRDefault="00A15C35" w:rsidP="00E05E4D">
      <w:pPr>
        <w:pStyle w:val="ab"/>
        <w:spacing w:line="360" w:lineRule="auto"/>
        <w:ind w:leftChars="-1" w:left="-2" w:firstLine="440"/>
        <w:rPr>
          <w:rFonts w:ascii="仿宋_GB2312" w:eastAsia="仿宋_GB2312"/>
          <w:sz w:val="24"/>
        </w:rPr>
      </w:pPr>
      <w:r>
        <w:rPr>
          <w:rFonts w:asciiTheme="minorEastAsia" w:eastAsiaTheme="minorEastAsia" w:hAnsiTheme="minorEastAsia" w:hint="eastAsia"/>
          <w:spacing w:val="-10"/>
          <w:kern w:val="0"/>
          <w:sz w:val="24"/>
        </w:rPr>
        <w:t>⑤服务地方经济：与宁波</w:t>
      </w:r>
      <w:proofErr w:type="gramStart"/>
      <w:r>
        <w:rPr>
          <w:rFonts w:asciiTheme="minorEastAsia" w:eastAsiaTheme="minorEastAsia" w:hAnsiTheme="minorEastAsia" w:hint="eastAsia"/>
          <w:spacing w:val="-10"/>
          <w:kern w:val="0"/>
          <w:sz w:val="24"/>
        </w:rPr>
        <w:t>曙</w:t>
      </w:r>
      <w:proofErr w:type="gramEnd"/>
      <w:r>
        <w:rPr>
          <w:rFonts w:asciiTheme="minorEastAsia" w:eastAsiaTheme="minorEastAsia" w:hAnsiTheme="minorEastAsia" w:hint="eastAsia"/>
          <w:spacing w:val="-10"/>
          <w:kern w:val="0"/>
          <w:sz w:val="24"/>
        </w:rPr>
        <w:t>翔特种复合材料省级高新技术企业研究开发中心合作，联合申报校企合作项目，获批浙江省尖兵项目（总经费2900万元），开展联合技术攻关和研究生培养。</w:t>
      </w:r>
    </w:p>
    <w:tbl>
      <w:tblPr>
        <w:tblpPr w:leftFromText="180" w:rightFromText="180" w:vertAnchor="text" w:horzAnchor="margin" w:tblpY="209"/>
        <w:tblOverlap w:val="neve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174"/>
        <w:gridCol w:w="3186"/>
        <w:gridCol w:w="1294"/>
        <w:gridCol w:w="1280"/>
      </w:tblGrid>
      <w:tr w:rsidR="00E05E4D" w14:paraId="6C1B722C" w14:textId="77777777" w:rsidTr="00E05E4D">
        <w:tc>
          <w:tcPr>
            <w:tcW w:w="8816" w:type="dxa"/>
            <w:gridSpan w:val="5"/>
            <w:tcBorders>
              <w:top w:val="nil"/>
              <w:left w:val="nil"/>
              <w:bottom w:val="single" w:sz="12" w:space="0" w:color="auto"/>
              <w:right w:val="nil"/>
            </w:tcBorders>
            <w:vAlign w:val="center"/>
          </w:tcPr>
          <w:p w14:paraId="5A32DB7F"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近</w:t>
            </w:r>
            <w:r>
              <w:rPr>
                <w:rFonts w:eastAsiaTheme="minorEastAsia" w:hint="eastAsia"/>
                <w:b/>
                <w:bCs/>
                <w:spacing w:val="-10"/>
                <w:kern w:val="0"/>
                <w:szCs w:val="21"/>
              </w:rPr>
              <w:t>5</w:t>
            </w:r>
            <w:r>
              <w:rPr>
                <w:rFonts w:eastAsiaTheme="minorEastAsia" w:hint="eastAsia"/>
                <w:b/>
                <w:bCs/>
                <w:spacing w:val="-10"/>
                <w:kern w:val="0"/>
                <w:szCs w:val="21"/>
              </w:rPr>
              <w:t>年与前</w:t>
            </w:r>
            <w:r>
              <w:rPr>
                <w:rFonts w:eastAsiaTheme="minorEastAsia" w:hint="eastAsia"/>
                <w:b/>
                <w:bCs/>
                <w:spacing w:val="-10"/>
                <w:kern w:val="0"/>
                <w:szCs w:val="21"/>
              </w:rPr>
              <w:t>5</w:t>
            </w:r>
            <w:r>
              <w:rPr>
                <w:rFonts w:eastAsiaTheme="minorEastAsia" w:hint="eastAsia"/>
                <w:b/>
                <w:bCs/>
                <w:spacing w:val="-10"/>
                <w:kern w:val="0"/>
                <w:szCs w:val="21"/>
              </w:rPr>
              <w:t>年的研究生培养成效对比</w:t>
            </w:r>
          </w:p>
        </w:tc>
      </w:tr>
      <w:tr w:rsidR="00E05E4D" w14:paraId="400D4A5B" w14:textId="77777777" w:rsidTr="00E05E4D">
        <w:tc>
          <w:tcPr>
            <w:tcW w:w="6242" w:type="dxa"/>
            <w:gridSpan w:val="3"/>
            <w:tcBorders>
              <w:top w:val="single" w:sz="12" w:space="0" w:color="auto"/>
              <w:left w:val="single" w:sz="12" w:space="0" w:color="auto"/>
              <w:bottom w:val="single" w:sz="12" w:space="0" w:color="auto"/>
              <w:right w:val="single" w:sz="12" w:space="0" w:color="auto"/>
            </w:tcBorders>
            <w:vAlign w:val="center"/>
          </w:tcPr>
          <w:p w14:paraId="73F7F66C"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研究生重要成果</w:t>
            </w:r>
          </w:p>
        </w:tc>
        <w:tc>
          <w:tcPr>
            <w:tcW w:w="1294" w:type="dxa"/>
            <w:tcBorders>
              <w:top w:val="single" w:sz="12" w:space="0" w:color="auto"/>
              <w:left w:val="single" w:sz="12" w:space="0" w:color="auto"/>
              <w:bottom w:val="single" w:sz="12" w:space="0" w:color="auto"/>
              <w:right w:val="single" w:sz="12" w:space="0" w:color="auto"/>
            </w:tcBorders>
            <w:vAlign w:val="center"/>
          </w:tcPr>
          <w:p w14:paraId="0AB57191"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b/>
                <w:bCs/>
                <w:spacing w:val="-10"/>
                <w:kern w:val="0"/>
                <w:szCs w:val="21"/>
              </w:rPr>
              <w:t>2019-2023</w:t>
            </w:r>
            <w:r>
              <w:rPr>
                <w:rFonts w:eastAsiaTheme="minorEastAsia"/>
                <w:b/>
                <w:bCs/>
                <w:spacing w:val="-10"/>
                <w:kern w:val="0"/>
                <w:szCs w:val="21"/>
              </w:rPr>
              <w:t>年</w:t>
            </w:r>
          </w:p>
        </w:tc>
        <w:tc>
          <w:tcPr>
            <w:tcW w:w="1280" w:type="dxa"/>
            <w:tcBorders>
              <w:top w:val="single" w:sz="12" w:space="0" w:color="auto"/>
              <w:left w:val="single" w:sz="12" w:space="0" w:color="auto"/>
              <w:bottom w:val="single" w:sz="12" w:space="0" w:color="auto"/>
              <w:right w:val="single" w:sz="12" w:space="0" w:color="auto"/>
            </w:tcBorders>
            <w:vAlign w:val="center"/>
          </w:tcPr>
          <w:p w14:paraId="6DD2838B"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b/>
                <w:bCs/>
                <w:spacing w:val="-10"/>
                <w:kern w:val="0"/>
                <w:szCs w:val="21"/>
              </w:rPr>
              <w:t>2014-2018</w:t>
            </w:r>
            <w:r>
              <w:rPr>
                <w:rFonts w:eastAsiaTheme="minorEastAsia"/>
                <w:b/>
                <w:bCs/>
                <w:spacing w:val="-10"/>
                <w:kern w:val="0"/>
                <w:szCs w:val="21"/>
              </w:rPr>
              <w:t>年</w:t>
            </w:r>
          </w:p>
        </w:tc>
      </w:tr>
      <w:tr w:rsidR="00E05E4D" w14:paraId="6A808209" w14:textId="77777777" w:rsidTr="00E05E4D">
        <w:tc>
          <w:tcPr>
            <w:tcW w:w="6242" w:type="dxa"/>
            <w:gridSpan w:val="3"/>
            <w:tcBorders>
              <w:top w:val="single" w:sz="12" w:space="0" w:color="auto"/>
              <w:left w:val="single" w:sz="12" w:space="0" w:color="auto"/>
              <w:bottom w:val="single" w:sz="12" w:space="0" w:color="auto"/>
              <w:right w:val="single" w:sz="12" w:space="0" w:color="auto"/>
            </w:tcBorders>
            <w:vAlign w:val="center"/>
          </w:tcPr>
          <w:p w14:paraId="58EA5D66"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在读研究生作为骨干研制</w:t>
            </w:r>
            <w:r>
              <w:rPr>
                <w:rFonts w:eastAsiaTheme="minorEastAsia" w:hint="eastAsia"/>
                <w:b/>
                <w:bCs/>
                <w:spacing w:val="-10"/>
                <w:kern w:val="0"/>
                <w:szCs w:val="21"/>
              </w:rPr>
              <w:t>XXX</w:t>
            </w:r>
            <w:r>
              <w:rPr>
                <w:rFonts w:eastAsiaTheme="minorEastAsia" w:hint="eastAsia"/>
                <w:b/>
                <w:bCs/>
                <w:spacing w:val="-10"/>
                <w:kern w:val="0"/>
                <w:szCs w:val="21"/>
              </w:rPr>
              <w:t>型号国防产品应用</w:t>
            </w:r>
          </w:p>
        </w:tc>
        <w:tc>
          <w:tcPr>
            <w:tcW w:w="1294" w:type="dxa"/>
            <w:tcBorders>
              <w:top w:val="single" w:sz="12" w:space="0" w:color="auto"/>
              <w:left w:val="single" w:sz="12" w:space="0" w:color="auto"/>
              <w:bottom w:val="single" w:sz="12" w:space="0" w:color="auto"/>
              <w:right w:val="single" w:sz="12" w:space="0" w:color="auto"/>
            </w:tcBorders>
            <w:vAlign w:val="center"/>
          </w:tcPr>
          <w:p w14:paraId="320DF1D0"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1</w:t>
            </w:r>
          </w:p>
        </w:tc>
        <w:tc>
          <w:tcPr>
            <w:tcW w:w="1280" w:type="dxa"/>
            <w:tcBorders>
              <w:top w:val="single" w:sz="12" w:space="0" w:color="auto"/>
              <w:left w:val="single" w:sz="12" w:space="0" w:color="auto"/>
              <w:bottom w:val="single" w:sz="12" w:space="0" w:color="auto"/>
              <w:right w:val="single" w:sz="12" w:space="0" w:color="auto"/>
            </w:tcBorders>
            <w:vAlign w:val="center"/>
          </w:tcPr>
          <w:p w14:paraId="5C0297A5"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0</w:t>
            </w:r>
          </w:p>
        </w:tc>
      </w:tr>
      <w:tr w:rsidR="00E05E4D" w14:paraId="64396DCF" w14:textId="77777777" w:rsidTr="00E05E4D">
        <w:tc>
          <w:tcPr>
            <w:tcW w:w="6242" w:type="dxa"/>
            <w:gridSpan w:val="3"/>
            <w:tcBorders>
              <w:top w:val="single" w:sz="12" w:space="0" w:color="auto"/>
              <w:left w:val="single" w:sz="12" w:space="0" w:color="auto"/>
              <w:bottom w:val="single" w:sz="12" w:space="0" w:color="auto"/>
              <w:right w:val="single" w:sz="12" w:space="0" w:color="auto"/>
            </w:tcBorders>
            <w:vAlign w:val="center"/>
          </w:tcPr>
          <w:p w14:paraId="5F097F17"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国家四</w:t>
            </w:r>
            <w:proofErr w:type="gramStart"/>
            <w:r>
              <w:rPr>
                <w:rFonts w:eastAsiaTheme="minorEastAsia" w:hint="eastAsia"/>
                <w:b/>
                <w:bCs/>
                <w:spacing w:val="-10"/>
                <w:kern w:val="0"/>
                <w:szCs w:val="21"/>
              </w:rPr>
              <w:t>青人才</w:t>
            </w:r>
            <w:proofErr w:type="gramEnd"/>
          </w:p>
        </w:tc>
        <w:tc>
          <w:tcPr>
            <w:tcW w:w="1294" w:type="dxa"/>
            <w:tcBorders>
              <w:top w:val="single" w:sz="12" w:space="0" w:color="auto"/>
              <w:left w:val="single" w:sz="12" w:space="0" w:color="auto"/>
              <w:bottom w:val="single" w:sz="12" w:space="0" w:color="auto"/>
              <w:right w:val="single" w:sz="12" w:space="0" w:color="auto"/>
            </w:tcBorders>
            <w:vAlign w:val="center"/>
          </w:tcPr>
          <w:p w14:paraId="0A5D7DCF"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3</w:t>
            </w:r>
          </w:p>
        </w:tc>
        <w:tc>
          <w:tcPr>
            <w:tcW w:w="1280" w:type="dxa"/>
            <w:tcBorders>
              <w:top w:val="single" w:sz="12" w:space="0" w:color="auto"/>
              <w:left w:val="single" w:sz="12" w:space="0" w:color="auto"/>
              <w:bottom w:val="single" w:sz="12" w:space="0" w:color="auto"/>
              <w:right w:val="single" w:sz="12" w:space="0" w:color="auto"/>
            </w:tcBorders>
            <w:vAlign w:val="center"/>
          </w:tcPr>
          <w:p w14:paraId="3FB0299E"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w:t>
            </w:r>
          </w:p>
        </w:tc>
      </w:tr>
      <w:tr w:rsidR="00E05E4D" w14:paraId="7713E23F" w14:textId="77777777" w:rsidTr="00E05E4D">
        <w:tc>
          <w:tcPr>
            <w:tcW w:w="6242" w:type="dxa"/>
            <w:gridSpan w:val="3"/>
            <w:tcBorders>
              <w:top w:val="single" w:sz="12" w:space="0" w:color="auto"/>
              <w:left w:val="single" w:sz="12" w:space="0" w:color="auto"/>
              <w:bottom w:val="single" w:sz="12" w:space="0" w:color="auto"/>
              <w:right w:val="single" w:sz="12" w:space="0" w:color="auto"/>
            </w:tcBorders>
            <w:vAlign w:val="center"/>
          </w:tcPr>
          <w:p w14:paraId="0A368F1F"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中国科协青年托举人才</w:t>
            </w:r>
          </w:p>
        </w:tc>
        <w:tc>
          <w:tcPr>
            <w:tcW w:w="1294" w:type="dxa"/>
            <w:tcBorders>
              <w:top w:val="single" w:sz="12" w:space="0" w:color="auto"/>
              <w:left w:val="single" w:sz="12" w:space="0" w:color="auto"/>
              <w:bottom w:val="single" w:sz="12" w:space="0" w:color="auto"/>
              <w:right w:val="single" w:sz="12" w:space="0" w:color="auto"/>
            </w:tcBorders>
            <w:vAlign w:val="center"/>
          </w:tcPr>
          <w:p w14:paraId="6A1D4178"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3</w:t>
            </w:r>
          </w:p>
        </w:tc>
        <w:tc>
          <w:tcPr>
            <w:tcW w:w="1280" w:type="dxa"/>
            <w:tcBorders>
              <w:top w:val="single" w:sz="12" w:space="0" w:color="auto"/>
              <w:left w:val="single" w:sz="12" w:space="0" w:color="auto"/>
              <w:bottom w:val="single" w:sz="12" w:space="0" w:color="auto"/>
              <w:right w:val="single" w:sz="12" w:space="0" w:color="auto"/>
            </w:tcBorders>
            <w:vAlign w:val="center"/>
          </w:tcPr>
          <w:p w14:paraId="7F65950C"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w:t>
            </w:r>
          </w:p>
        </w:tc>
      </w:tr>
      <w:tr w:rsidR="00E05E4D" w14:paraId="5B95926E" w14:textId="77777777" w:rsidTr="00E05E4D">
        <w:tc>
          <w:tcPr>
            <w:tcW w:w="6242" w:type="dxa"/>
            <w:gridSpan w:val="3"/>
            <w:tcBorders>
              <w:top w:val="single" w:sz="12" w:space="0" w:color="auto"/>
              <w:left w:val="single" w:sz="12" w:space="0" w:color="auto"/>
              <w:bottom w:val="single" w:sz="12" w:space="0" w:color="auto"/>
              <w:right w:val="single" w:sz="12" w:space="0" w:color="auto"/>
            </w:tcBorders>
            <w:vAlign w:val="center"/>
          </w:tcPr>
          <w:p w14:paraId="50DB7283"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教育部自然科学一等奖</w:t>
            </w:r>
          </w:p>
        </w:tc>
        <w:tc>
          <w:tcPr>
            <w:tcW w:w="1294" w:type="dxa"/>
            <w:tcBorders>
              <w:top w:val="single" w:sz="12" w:space="0" w:color="auto"/>
              <w:left w:val="single" w:sz="12" w:space="0" w:color="auto"/>
              <w:bottom w:val="single" w:sz="12" w:space="0" w:color="auto"/>
              <w:right w:val="single" w:sz="12" w:space="0" w:color="auto"/>
            </w:tcBorders>
            <w:vAlign w:val="center"/>
          </w:tcPr>
          <w:p w14:paraId="0DC4ED86"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2</w:t>
            </w:r>
          </w:p>
        </w:tc>
        <w:tc>
          <w:tcPr>
            <w:tcW w:w="1280" w:type="dxa"/>
            <w:tcBorders>
              <w:top w:val="single" w:sz="12" w:space="0" w:color="auto"/>
              <w:left w:val="single" w:sz="12" w:space="0" w:color="auto"/>
              <w:bottom w:val="single" w:sz="12" w:space="0" w:color="auto"/>
              <w:right w:val="single" w:sz="12" w:space="0" w:color="auto"/>
            </w:tcBorders>
            <w:vAlign w:val="center"/>
          </w:tcPr>
          <w:p w14:paraId="56D8F0AA"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0</w:t>
            </w:r>
          </w:p>
        </w:tc>
      </w:tr>
      <w:tr w:rsidR="00E05E4D" w14:paraId="455DE0AB" w14:textId="77777777" w:rsidTr="00E05E4D">
        <w:tc>
          <w:tcPr>
            <w:tcW w:w="6242" w:type="dxa"/>
            <w:gridSpan w:val="3"/>
            <w:tcBorders>
              <w:top w:val="single" w:sz="12" w:space="0" w:color="auto"/>
              <w:left w:val="single" w:sz="12" w:space="0" w:color="auto"/>
              <w:bottom w:val="single" w:sz="12" w:space="0" w:color="auto"/>
              <w:right w:val="single" w:sz="12" w:space="0" w:color="auto"/>
            </w:tcBorders>
            <w:vAlign w:val="center"/>
          </w:tcPr>
          <w:p w14:paraId="141F7CA6"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省级自然科学一等奖</w:t>
            </w:r>
          </w:p>
        </w:tc>
        <w:tc>
          <w:tcPr>
            <w:tcW w:w="1294" w:type="dxa"/>
            <w:tcBorders>
              <w:top w:val="single" w:sz="12" w:space="0" w:color="auto"/>
              <w:left w:val="single" w:sz="12" w:space="0" w:color="auto"/>
              <w:bottom w:val="single" w:sz="12" w:space="0" w:color="auto"/>
              <w:right w:val="single" w:sz="12" w:space="0" w:color="auto"/>
            </w:tcBorders>
            <w:vAlign w:val="center"/>
          </w:tcPr>
          <w:p w14:paraId="16FDBB5B"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2</w:t>
            </w:r>
          </w:p>
        </w:tc>
        <w:tc>
          <w:tcPr>
            <w:tcW w:w="1280" w:type="dxa"/>
            <w:tcBorders>
              <w:top w:val="single" w:sz="12" w:space="0" w:color="auto"/>
              <w:left w:val="single" w:sz="12" w:space="0" w:color="auto"/>
              <w:bottom w:val="single" w:sz="12" w:space="0" w:color="auto"/>
              <w:right w:val="single" w:sz="12" w:space="0" w:color="auto"/>
            </w:tcBorders>
            <w:vAlign w:val="center"/>
          </w:tcPr>
          <w:p w14:paraId="1F095DBD"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0</w:t>
            </w:r>
          </w:p>
        </w:tc>
      </w:tr>
      <w:tr w:rsidR="00E05E4D" w14:paraId="4D265B9E" w14:textId="77777777" w:rsidTr="00E05E4D">
        <w:tc>
          <w:tcPr>
            <w:tcW w:w="6242" w:type="dxa"/>
            <w:gridSpan w:val="3"/>
            <w:tcBorders>
              <w:top w:val="single" w:sz="12" w:space="0" w:color="auto"/>
              <w:left w:val="single" w:sz="12" w:space="0" w:color="auto"/>
              <w:bottom w:val="single" w:sz="12" w:space="0" w:color="auto"/>
              <w:right w:val="single" w:sz="12" w:space="0" w:color="auto"/>
            </w:tcBorders>
            <w:vAlign w:val="center"/>
          </w:tcPr>
          <w:p w14:paraId="3D80E520"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中国光学工程学会自然科学一等奖</w:t>
            </w:r>
          </w:p>
        </w:tc>
        <w:tc>
          <w:tcPr>
            <w:tcW w:w="1294" w:type="dxa"/>
            <w:tcBorders>
              <w:top w:val="single" w:sz="12" w:space="0" w:color="auto"/>
              <w:left w:val="single" w:sz="12" w:space="0" w:color="auto"/>
              <w:bottom w:val="single" w:sz="12" w:space="0" w:color="auto"/>
              <w:right w:val="single" w:sz="12" w:space="0" w:color="auto"/>
            </w:tcBorders>
            <w:vAlign w:val="center"/>
          </w:tcPr>
          <w:p w14:paraId="14E2D0C6"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2</w:t>
            </w:r>
          </w:p>
        </w:tc>
        <w:tc>
          <w:tcPr>
            <w:tcW w:w="1280" w:type="dxa"/>
            <w:tcBorders>
              <w:top w:val="single" w:sz="12" w:space="0" w:color="auto"/>
              <w:left w:val="single" w:sz="12" w:space="0" w:color="auto"/>
              <w:bottom w:val="single" w:sz="12" w:space="0" w:color="auto"/>
              <w:right w:val="single" w:sz="12" w:space="0" w:color="auto"/>
            </w:tcBorders>
            <w:vAlign w:val="center"/>
          </w:tcPr>
          <w:p w14:paraId="5C6FEEBB"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0</w:t>
            </w:r>
          </w:p>
        </w:tc>
      </w:tr>
      <w:tr w:rsidR="00E05E4D" w14:paraId="3272D4A1" w14:textId="77777777" w:rsidTr="00E05E4D">
        <w:tc>
          <w:tcPr>
            <w:tcW w:w="1882" w:type="dxa"/>
            <w:vMerge w:val="restart"/>
            <w:tcBorders>
              <w:top w:val="single" w:sz="12" w:space="0" w:color="auto"/>
              <w:left w:val="single" w:sz="12" w:space="0" w:color="auto"/>
              <w:right w:val="single" w:sz="12" w:space="0" w:color="auto"/>
            </w:tcBorders>
            <w:vAlign w:val="center"/>
          </w:tcPr>
          <w:p w14:paraId="53959483"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b/>
                <w:bCs/>
                <w:spacing w:val="-10"/>
                <w:kern w:val="0"/>
                <w:szCs w:val="21"/>
              </w:rPr>
              <w:t>Nature</w:t>
            </w:r>
          </w:p>
          <w:p w14:paraId="2C6F56CF"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b/>
                <w:bCs/>
                <w:spacing w:val="-10"/>
                <w:kern w:val="0"/>
                <w:szCs w:val="21"/>
              </w:rPr>
              <w:t>Science</w:t>
            </w:r>
          </w:p>
        </w:tc>
        <w:tc>
          <w:tcPr>
            <w:tcW w:w="4360" w:type="dxa"/>
            <w:gridSpan w:val="2"/>
            <w:tcBorders>
              <w:top w:val="single" w:sz="12" w:space="0" w:color="auto"/>
              <w:left w:val="single" w:sz="12" w:space="0" w:color="auto"/>
              <w:bottom w:val="single" w:sz="12" w:space="0" w:color="auto"/>
              <w:right w:val="single" w:sz="12" w:space="0" w:color="auto"/>
            </w:tcBorders>
            <w:vAlign w:val="center"/>
          </w:tcPr>
          <w:p w14:paraId="46620848"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b/>
                <w:bCs/>
                <w:spacing w:val="-10"/>
                <w:kern w:val="0"/>
                <w:szCs w:val="21"/>
              </w:rPr>
              <w:t>主</w:t>
            </w:r>
            <w:proofErr w:type="gramStart"/>
            <w:r>
              <w:rPr>
                <w:rFonts w:eastAsiaTheme="minorEastAsia"/>
                <w:b/>
                <w:bCs/>
                <w:spacing w:val="-10"/>
                <w:kern w:val="0"/>
                <w:szCs w:val="21"/>
              </w:rPr>
              <w:t>刊</w:t>
            </w:r>
            <w:r>
              <w:rPr>
                <w:rFonts w:eastAsiaTheme="minorEastAsia" w:hint="eastAsia"/>
                <w:b/>
                <w:bCs/>
                <w:spacing w:val="-10"/>
                <w:kern w:val="0"/>
                <w:szCs w:val="21"/>
              </w:rPr>
              <w:t>毕业</w:t>
            </w:r>
            <w:proofErr w:type="gramEnd"/>
            <w:r>
              <w:rPr>
                <w:rFonts w:eastAsiaTheme="minorEastAsia" w:hint="eastAsia"/>
                <w:b/>
                <w:bCs/>
                <w:spacing w:val="-10"/>
                <w:kern w:val="0"/>
                <w:szCs w:val="21"/>
              </w:rPr>
              <w:t>研究生作者篇数</w:t>
            </w:r>
          </w:p>
        </w:tc>
        <w:tc>
          <w:tcPr>
            <w:tcW w:w="1294" w:type="dxa"/>
            <w:tcBorders>
              <w:top w:val="single" w:sz="12" w:space="0" w:color="auto"/>
              <w:left w:val="single" w:sz="12" w:space="0" w:color="auto"/>
              <w:bottom w:val="single" w:sz="12" w:space="0" w:color="auto"/>
              <w:right w:val="single" w:sz="12" w:space="0" w:color="auto"/>
            </w:tcBorders>
            <w:vAlign w:val="center"/>
          </w:tcPr>
          <w:p w14:paraId="39E49E21"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b/>
                <w:bCs/>
                <w:spacing w:val="-10"/>
                <w:kern w:val="0"/>
                <w:szCs w:val="21"/>
              </w:rPr>
              <w:t>2</w:t>
            </w:r>
          </w:p>
        </w:tc>
        <w:tc>
          <w:tcPr>
            <w:tcW w:w="1280" w:type="dxa"/>
            <w:tcBorders>
              <w:top w:val="single" w:sz="12" w:space="0" w:color="auto"/>
              <w:left w:val="single" w:sz="12" w:space="0" w:color="auto"/>
              <w:bottom w:val="single" w:sz="12" w:space="0" w:color="auto"/>
              <w:right w:val="single" w:sz="12" w:space="0" w:color="auto"/>
            </w:tcBorders>
            <w:vAlign w:val="center"/>
          </w:tcPr>
          <w:p w14:paraId="12932804"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b/>
                <w:bCs/>
                <w:spacing w:val="-10"/>
                <w:kern w:val="0"/>
                <w:szCs w:val="21"/>
              </w:rPr>
              <w:t>1</w:t>
            </w:r>
          </w:p>
        </w:tc>
      </w:tr>
      <w:tr w:rsidR="00E05E4D" w14:paraId="4B9C29D2" w14:textId="77777777" w:rsidTr="00E05E4D">
        <w:tc>
          <w:tcPr>
            <w:tcW w:w="1882" w:type="dxa"/>
            <w:vMerge/>
            <w:tcBorders>
              <w:left w:val="single" w:sz="12" w:space="0" w:color="auto"/>
              <w:right w:val="single" w:sz="12" w:space="0" w:color="auto"/>
            </w:tcBorders>
            <w:vAlign w:val="center"/>
          </w:tcPr>
          <w:p w14:paraId="7A5400A6" w14:textId="77777777" w:rsidR="00E05E4D" w:rsidRDefault="00E05E4D" w:rsidP="00E05E4D">
            <w:pPr>
              <w:pStyle w:val="ab"/>
              <w:ind w:firstLine="382"/>
              <w:jc w:val="center"/>
              <w:rPr>
                <w:rFonts w:eastAsiaTheme="minorEastAsia"/>
                <w:b/>
                <w:bCs/>
                <w:spacing w:val="-10"/>
                <w:kern w:val="0"/>
                <w:szCs w:val="21"/>
              </w:rPr>
            </w:pPr>
          </w:p>
        </w:tc>
        <w:tc>
          <w:tcPr>
            <w:tcW w:w="1174" w:type="dxa"/>
            <w:vMerge w:val="restart"/>
            <w:tcBorders>
              <w:top w:val="single" w:sz="12" w:space="0" w:color="auto"/>
              <w:left w:val="single" w:sz="12" w:space="0" w:color="auto"/>
              <w:right w:val="single" w:sz="12" w:space="0" w:color="auto"/>
            </w:tcBorders>
            <w:vAlign w:val="center"/>
          </w:tcPr>
          <w:p w14:paraId="03A9CA2F"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b/>
                <w:bCs/>
                <w:spacing w:val="-10"/>
                <w:kern w:val="0"/>
                <w:szCs w:val="21"/>
              </w:rPr>
              <w:t>子刊</w:t>
            </w:r>
          </w:p>
          <w:p w14:paraId="23BE1384"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研究生作者</w:t>
            </w:r>
          </w:p>
          <w:p w14:paraId="4DFF6966"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篇数</w:t>
            </w:r>
          </w:p>
        </w:tc>
        <w:tc>
          <w:tcPr>
            <w:tcW w:w="3186" w:type="dxa"/>
            <w:tcBorders>
              <w:top w:val="single" w:sz="12" w:space="0" w:color="auto"/>
              <w:left w:val="single" w:sz="12" w:space="0" w:color="auto"/>
              <w:bottom w:val="single" w:sz="12" w:space="0" w:color="auto"/>
              <w:right w:val="single" w:sz="12" w:space="0" w:color="auto"/>
            </w:tcBorders>
            <w:vAlign w:val="center"/>
          </w:tcPr>
          <w:p w14:paraId="5A7B3B9B"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总篇数</w:t>
            </w:r>
          </w:p>
        </w:tc>
        <w:tc>
          <w:tcPr>
            <w:tcW w:w="1294" w:type="dxa"/>
            <w:tcBorders>
              <w:top w:val="single" w:sz="12" w:space="0" w:color="auto"/>
              <w:left w:val="single" w:sz="12" w:space="0" w:color="auto"/>
              <w:bottom w:val="single" w:sz="12" w:space="0" w:color="auto"/>
              <w:right w:val="single" w:sz="12" w:space="0" w:color="auto"/>
            </w:tcBorders>
            <w:vAlign w:val="center"/>
          </w:tcPr>
          <w:p w14:paraId="44AA8313"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15</w:t>
            </w:r>
          </w:p>
        </w:tc>
        <w:tc>
          <w:tcPr>
            <w:tcW w:w="1280" w:type="dxa"/>
            <w:tcBorders>
              <w:top w:val="single" w:sz="12" w:space="0" w:color="auto"/>
              <w:left w:val="single" w:sz="12" w:space="0" w:color="auto"/>
              <w:bottom w:val="single" w:sz="12" w:space="0" w:color="auto"/>
              <w:right w:val="single" w:sz="12" w:space="0" w:color="auto"/>
            </w:tcBorders>
            <w:vAlign w:val="center"/>
          </w:tcPr>
          <w:p w14:paraId="5C733A9B"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6</w:t>
            </w:r>
          </w:p>
        </w:tc>
      </w:tr>
      <w:tr w:rsidR="00E05E4D" w14:paraId="15C86987" w14:textId="77777777" w:rsidTr="00E05E4D">
        <w:tc>
          <w:tcPr>
            <w:tcW w:w="1882" w:type="dxa"/>
            <w:vMerge/>
            <w:tcBorders>
              <w:left w:val="single" w:sz="12" w:space="0" w:color="auto"/>
              <w:right w:val="single" w:sz="12" w:space="0" w:color="auto"/>
            </w:tcBorders>
            <w:vAlign w:val="center"/>
          </w:tcPr>
          <w:p w14:paraId="40FD2B24" w14:textId="77777777" w:rsidR="00E05E4D" w:rsidRDefault="00E05E4D" w:rsidP="00E05E4D">
            <w:pPr>
              <w:pStyle w:val="ab"/>
              <w:ind w:firstLine="382"/>
              <w:jc w:val="center"/>
              <w:rPr>
                <w:rFonts w:eastAsiaTheme="minorEastAsia"/>
                <w:b/>
                <w:bCs/>
                <w:spacing w:val="-10"/>
                <w:kern w:val="0"/>
                <w:szCs w:val="21"/>
              </w:rPr>
            </w:pPr>
          </w:p>
        </w:tc>
        <w:tc>
          <w:tcPr>
            <w:tcW w:w="1174" w:type="dxa"/>
            <w:vMerge/>
            <w:tcBorders>
              <w:left w:val="single" w:sz="12" w:space="0" w:color="auto"/>
              <w:right w:val="single" w:sz="12" w:space="0" w:color="auto"/>
            </w:tcBorders>
            <w:vAlign w:val="center"/>
          </w:tcPr>
          <w:p w14:paraId="4B6CD35A" w14:textId="77777777" w:rsidR="00E05E4D" w:rsidRDefault="00E05E4D" w:rsidP="00E05E4D">
            <w:pPr>
              <w:pStyle w:val="ab"/>
              <w:ind w:firstLine="382"/>
              <w:jc w:val="center"/>
              <w:rPr>
                <w:rFonts w:eastAsiaTheme="minorEastAsia"/>
                <w:b/>
                <w:bCs/>
                <w:spacing w:val="-10"/>
                <w:kern w:val="0"/>
                <w:szCs w:val="21"/>
              </w:rPr>
            </w:pPr>
          </w:p>
        </w:tc>
        <w:tc>
          <w:tcPr>
            <w:tcW w:w="3186" w:type="dxa"/>
            <w:tcBorders>
              <w:top w:val="single" w:sz="12" w:space="0" w:color="auto"/>
              <w:left w:val="single" w:sz="12" w:space="0" w:color="auto"/>
              <w:bottom w:val="single" w:sz="12" w:space="0" w:color="auto"/>
              <w:right w:val="single" w:sz="12" w:space="0" w:color="auto"/>
            </w:tcBorders>
            <w:vAlign w:val="center"/>
          </w:tcPr>
          <w:p w14:paraId="28F50448"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在读研究生第一作者</w:t>
            </w:r>
            <w:r>
              <w:rPr>
                <w:rFonts w:eastAsiaTheme="minorEastAsia" w:hint="eastAsia"/>
                <w:b/>
                <w:bCs/>
                <w:spacing w:val="-10"/>
                <w:kern w:val="0"/>
                <w:szCs w:val="21"/>
              </w:rPr>
              <w:t xml:space="preserve"> + </w:t>
            </w:r>
            <w:r>
              <w:rPr>
                <w:rFonts w:eastAsiaTheme="minorEastAsia" w:hint="eastAsia"/>
                <w:b/>
                <w:bCs/>
                <w:spacing w:val="-10"/>
                <w:kern w:val="0"/>
                <w:szCs w:val="21"/>
              </w:rPr>
              <w:t>非第一作者</w:t>
            </w:r>
          </w:p>
        </w:tc>
        <w:tc>
          <w:tcPr>
            <w:tcW w:w="1294" w:type="dxa"/>
            <w:tcBorders>
              <w:top w:val="single" w:sz="12" w:space="0" w:color="auto"/>
              <w:left w:val="single" w:sz="12" w:space="0" w:color="auto"/>
              <w:bottom w:val="single" w:sz="12" w:space="0" w:color="auto"/>
              <w:right w:val="single" w:sz="12" w:space="0" w:color="auto"/>
            </w:tcBorders>
            <w:vAlign w:val="center"/>
          </w:tcPr>
          <w:p w14:paraId="5AB1F6CD"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12</w:t>
            </w:r>
            <w:r>
              <w:rPr>
                <w:rFonts w:eastAsiaTheme="minorEastAsia"/>
                <w:b/>
                <w:bCs/>
                <w:spacing w:val="-10"/>
                <w:kern w:val="0"/>
                <w:szCs w:val="21"/>
              </w:rPr>
              <w:t xml:space="preserve"> + </w:t>
            </w:r>
            <w:r>
              <w:rPr>
                <w:rFonts w:eastAsiaTheme="minorEastAsia" w:hint="eastAsia"/>
                <w:b/>
                <w:bCs/>
                <w:spacing w:val="-10"/>
                <w:kern w:val="0"/>
                <w:szCs w:val="21"/>
              </w:rPr>
              <w:t>0</w:t>
            </w:r>
          </w:p>
        </w:tc>
        <w:tc>
          <w:tcPr>
            <w:tcW w:w="1280" w:type="dxa"/>
            <w:tcBorders>
              <w:top w:val="single" w:sz="12" w:space="0" w:color="auto"/>
              <w:left w:val="single" w:sz="12" w:space="0" w:color="auto"/>
              <w:bottom w:val="single" w:sz="12" w:space="0" w:color="auto"/>
              <w:right w:val="single" w:sz="12" w:space="0" w:color="auto"/>
            </w:tcBorders>
            <w:vAlign w:val="center"/>
          </w:tcPr>
          <w:p w14:paraId="7855FC99"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 xml:space="preserve">1 </w:t>
            </w:r>
            <w:r>
              <w:rPr>
                <w:rFonts w:eastAsiaTheme="minorEastAsia"/>
                <w:b/>
                <w:bCs/>
                <w:spacing w:val="-10"/>
                <w:kern w:val="0"/>
                <w:szCs w:val="21"/>
              </w:rPr>
              <w:t xml:space="preserve">+ </w:t>
            </w:r>
            <w:r>
              <w:rPr>
                <w:rFonts w:eastAsiaTheme="minorEastAsia" w:hint="eastAsia"/>
                <w:b/>
                <w:bCs/>
                <w:spacing w:val="-10"/>
                <w:kern w:val="0"/>
                <w:szCs w:val="21"/>
              </w:rPr>
              <w:t>0</w:t>
            </w:r>
          </w:p>
        </w:tc>
      </w:tr>
      <w:tr w:rsidR="00E05E4D" w14:paraId="5CFCE13E" w14:textId="77777777" w:rsidTr="00E05E4D">
        <w:tc>
          <w:tcPr>
            <w:tcW w:w="1882" w:type="dxa"/>
            <w:vMerge/>
            <w:tcBorders>
              <w:left w:val="single" w:sz="12" w:space="0" w:color="auto"/>
              <w:bottom w:val="single" w:sz="12" w:space="0" w:color="auto"/>
              <w:right w:val="single" w:sz="12" w:space="0" w:color="auto"/>
            </w:tcBorders>
            <w:vAlign w:val="center"/>
          </w:tcPr>
          <w:p w14:paraId="448521E8" w14:textId="77777777" w:rsidR="00E05E4D" w:rsidRDefault="00E05E4D" w:rsidP="00E05E4D">
            <w:pPr>
              <w:pStyle w:val="ab"/>
              <w:ind w:firstLine="382"/>
              <w:jc w:val="center"/>
              <w:rPr>
                <w:rFonts w:eastAsiaTheme="minorEastAsia"/>
                <w:b/>
                <w:bCs/>
                <w:spacing w:val="-10"/>
                <w:kern w:val="0"/>
                <w:szCs w:val="21"/>
              </w:rPr>
            </w:pPr>
          </w:p>
        </w:tc>
        <w:tc>
          <w:tcPr>
            <w:tcW w:w="1174" w:type="dxa"/>
            <w:vMerge/>
            <w:tcBorders>
              <w:left w:val="single" w:sz="12" w:space="0" w:color="auto"/>
              <w:bottom w:val="single" w:sz="12" w:space="0" w:color="auto"/>
              <w:right w:val="single" w:sz="12" w:space="0" w:color="auto"/>
            </w:tcBorders>
            <w:vAlign w:val="center"/>
          </w:tcPr>
          <w:p w14:paraId="42728E28" w14:textId="77777777" w:rsidR="00E05E4D" w:rsidRDefault="00E05E4D" w:rsidP="00E05E4D">
            <w:pPr>
              <w:pStyle w:val="ab"/>
              <w:ind w:firstLine="382"/>
              <w:jc w:val="center"/>
              <w:rPr>
                <w:rFonts w:eastAsiaTheme="minorEastAsia"/>
                <w:b/>
                <w:bCs/>
                <w:spacing w:val="-10"/>
                <w:kern w:val="0"/>
                <w:szCs w:val="21"/>
              </w:rPr>
            </w:pPr>
          </w:p>
        </w:tc>
        <w:tc>
          <w:tcPr>
            <w:tcW w:w="3186" w:type="dxa"/>
            <w:tcBorders>
              <w:top w:val="single" w:sz="12" w:space="0" w:color="auto"/>
              <w:left w:val="single" w:sz="12" w:space="0" w:color="auto"/>
              <w:bottom w:val="single" w:sz="12" w:space="0" w:color="auto"/>
              <w:right w:val="single" w:sz="12" w:space="0" w:color="auto"/>
            </w:tcBorders>
            <w:vAlign w:val="center"/>
          </w:tcPr>
          <w:p w14:paraId="3FC47C4F"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毕业研究生第一作者</w:t>
            </w:r>
            <w:r>
              <w:rPr>
                <w:rFonts w:eastAsiaTheme="minorEastAsia" w:hint="eastAsia"/>
                <w:b/>
                <w:bCs/>
                <w:spacing w:val="-10"/>
                <w:kern w:val="0"/>
                <w:szCs w:val="21"/>
              </w:rPr>
              <w:t xml:space="preserve"> + </w:t>
            </w:r>
            <w:r>
              <w:rPr>
                <w:rFonts w:eastAsiaTheme="minorEastAsia" w:hint="eastAsia"/>
                <w:b/>
                <w:bCs/>
                <w:spacing w:val="-10"/>
                <w:kern w:val="0"/>
                <w:szCs w:val="21"/>
              </w:rPr>
              <w:t>非第一作者</w:t>
            </w:r>
          </w:p>
        </w:tc>
        <w:tc>
          <w:tcPr>
            <w:tcW w:w="1294" w:type="dxa"/>
            <w:tcBorders>
              <w:top w:val="single" w:sz="12" w:space="0" w:color="auto"/>
              <w:left w:val="single" w:sz="12" w:space="0" w:color="auto"/>
              <w:bottom w:val="single" w:sz="12" w:space="0" w:color="auto"/>
              <w:right w:val="single" w:sz="12" w:space="0" w:color="auto"/>
            </w:tcBorders>
            <w:vAlign w:val="center"/>
          </w:tcPr>
          <w:p w14:paraId="6FE1AC20"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3</w:t>
            </w:r>
            <w:r>
              <w:rPr>
                <w:rFonts w:eastAsiaTheme="minorEastAsia"/>
                <w:b/>
                <w:bCs/>
                <w:spacing w:val="-10"/>
                <w:kern w:val="0"/>
                <w:szCs w:val="21"/>
              </w:rPr>
              <w:t xml:space="preserve"> + </w:t>
            </w:r>
            <w:r>
              <w:rPr>
                <w:rFonts w:eastAsiaTheme="minorEastAsia" w:hint="eastAsia"/>
                <w:b/>
                <w:bCs/>
                <w:spacing w:val="-10"/>
                <w:kern w:val="0"/>
                <w:szCs w:val="21"/>
              </w:rPr>
              <w:t>0</w:t>
            </w:r>
          </w:p>
        </w:tc>
        <w:tc>
          <w:tcPr>
            <w:tcW w:w="1280" w:type="dxa"/>
            <w:tcBorders>
              <w:top w:val="single" w:sz="12" w:space="0" w:color="auto"/>
              <w:left w:val="single" w:sz="12" w:space="0" w:color="auto"/>
              <w:bottom w:val="single" w:sz="12" w:space="0" w:color="auto"/>
              <w:right w:val="single" w:sz="12" w:space="0" w:color="auto"/>
            </w:tcBorders>
            <w:vAlign w:val="center"/>
          </w:tcPr>
          <w:p w14:paraId="3F954821"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4</w:t>
            </w:r>
            <w:r>
              <w:rPr>
                <w:rFonts w:eastAsiaTheme="minorEastAsia"/>
                <w:b/>
                <w:bCs/>
                <w:spacing w:val="-10"/>
                <w:kern w:val="0"/>
                <w:szCs w:val="21"/>
              </w:rPr>
              <w:t xml:space="preserve"> + </w:t>
            </w:r>
            <w:r>
              <w:rPr>
                <w:rFonts w:eastAsiaTheme="minorEastAsia" w:hint="eastAsia"/>
                <w:b/>
                <w:bCs/>
                <w:spacing w:val="-10"/>
                <w:kern w:val="0"/>
                <w:szCs w:val="21"/>
              </w:rPr>
              <w:t>1</w:t>
            </w:r>
          </w:p>
        </w:tc>
      </w:tr>
      <w:tr w:rsidR="00E05E4D" w14:paraId="375FEC3D" w14:textId="77777777" w:rsidTr="00E05E4D">
        <w:tc>
          <w:tcPr>
            <w:tcW w:w="1882" w:type="dxa"/>
            <w:vMerge w:val="restart"/>
            <w:tcBorders>
              <w:top w:val="single" w:sz="12" w:space="0" w:color="auto"/>
              <w:left w:val="single" w:sz="12" w:space="0" w:color="auto"/>
              <w:bottom w:val="single" w:sz="12" w:space="0" w:color="auto"/>
              <w:right w:val="single" w:sz="12" w:space="0" w:color="auto"/>
            </w:tcBorders>
            <w:vAlign w:val="center"/>
          </w:tcPr>
          <w:p w14:paraId="6C59FDC2"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b/>
                <w:bCs/>
                <w:spacing w:val="-10"/>
                <w:kern w:val="0"/>
                <w:szCs w:val="21"/>
              </w:rPr>
              <w:t>中国电子学会</w:t>
            </w:r>
          </w:p>
          <w:p w14:paraId="5368ED71" w14:textId="77777777" w:rsidR="00E05E4D" w:rsidRPr="00942329"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中国电子教育学会</w:t>
            </w:r>
          </w:p>
          <w:p w14:paraId="7B69EC87"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b/>
                <w:bCs/>
                <w:spacing w:val="-10"/>
                <w:kern w:val="0"/>
                <w:szCs w:val="21"/>
              </w:rPr>
              <w:t>优秀学位论文</w:t>
            </w:r>
          </w:p>
        </w:tc>
        <w:tc>
          <w:tcPr>
            <w:tcW w:w="4360" w:type="dxa"/>
            <w:gridSpan w:val="2"/>
            <w:tcBorders>
              <w:top w:val="single" w:sz="12" w:space="0" w:color="auto"/>
              <w:left w:val="single" w:sz="12" w:space="0" w:color="auto"/>
              <w:bottom w:val="single" w:sz="12" w:space="0" w:color="auto"/>
              <w:right w:val="single" w:sz="12" w:space="0" w:color="auto"/>
            </w:tcBorders>
            <w:vAlign w:val="center"/>
          </w:tcPr>
          <w:p w14:paraId="29A3E723" w14:textId="77777777" w:rsidR="00E05E4D" w:rsidRDefault="00E05E4D" w:rsidP="00E05E4D">
            <w:pPr>
              <w:pStyle w:val="ab"/>
              <w:ind w:firstLineChars="0" w:firstLine="0"/>
              <w:jc w:val="center"/>
              <w:rPr>
                <w:rFonts w:eastAsiaTheme="minorEastAsia"/>
                <w:b/>
                <w:bCs/>
                <w:spacing w:val="-10"/>
                <w:kern w:val="0"/>
                <w:szCs w:val="21"/>
              </w:rPr>
            </w:pPr>
            <w:proofErr w:type="gramStart"/>
            <w:r>
              <w:rPr>
                <w:rFonts w:eastAsiaTheme="minorEastAsia"/>
                <w:b/>
                <w:bCs/>
                <w:spacing w:val="-10"/>
                <w:kern w:val="0"/>
                <w:szCs w:val="21"/>
              </w:rPr>
              <w:t>优博</w:t>
            </w:r>
            <w:proofErr w:type="gramEnd"/>
            <w:r>
              <w:rPr>
                <w:rFonts w:eastAsiaTheme="minorEastAsia"/>
                <w:b/>
                <w:bCs/>
                <w:spacing w:val="-10"/>
                <w:kern w:val="0"/>
                <w:szCs w:val="21"/>
              </w:rPr>
              <w:t xml:space="preserve"> + </w:t>
            </w:r>
            <w:r>
              <w:rPr>
                <w:rFonts w:eastAsiaTheme="minorEastAsia"/>
                <w:b/>
                <w:bCs/>
                <w:spacing w:val="-10"/>
                <w:kern w:val="0"/>
                <w:szCs w:val="21"/>
              </w:rPr>
              <w:t>提名</w:t>
            </w:r>
          </w:p>
        </w:tc>
        <w:tc>
          <w:tcPr>
            <w:tcW w:w="1294" w:type="dxa"/>
            <w:tcBorders>
              <w:top w:val="single" w:sz="12" w:space="0" w:color="auto"/>
              <w:left w:val="single" w:sz="12" w:space="0" w:color="auto"/>
              <w:bottom w:val="single" w:sz="12" w:space="0" w:color="auto"/>
              <w:right w:val="single" w:sz="12" w:space="0" w:color="auto"/>
            </w:tcBorders>
            <w:vAlign w:val="center"/>
          </w:tcPr>
          <w:p w14:paraId="0FE6F95E"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hint="eastAsia"/>
                <w:b/>
                <w:bCs/>
                <w:spacing w:val="-10"/>
                <w:kern w:val="0"/>
                <w:szCs w:val="21"/>
              </w:rPr>
              <w:t>3</w:t>
            </w:r>
            <w:r>
              <w:rPr>
                <w:rFonts w:eastAsiaTheme="minorEastAsia"/>
                <w:b/>
                <w:bCs/>
                <w:spacing w:val="-10"/>
                <w:kern w:val="0"/>
                <w:szCs w:val="21"/>
              </w:rPr>
              <w:t xml:space="preserve"> + 1</w:t>
            </w:r>
          </w:p>
        </w:tc>
        <w:tc>
          <w:tcPr>
            <w:tcW w:w="1280" w:type="dxa"/>
            <w:tcBorders>
              <w:top w:val="single" w:sz="12" w:space="0" w:color="auto"/>
              <w:left w:val="single" w:sz="12" w:space="0" w:color="auto"/>
              <w:bottom w:val="single" w:sz="12" w:space="0" w:color="auto"/>
              <w:right w:val="single" w:sz="12" w:space="0" w:color="auto"/>
            </w:tcBorders>
            <w:vAlign w:val="center"/>
          </w:tcPr>
          <w:p w14:paraId="2AF941D9"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b/>
                <w:bCs/>
                <w:spacing w:val="-10"/>
                <w:kern w:val="0"/>
                <w:szCs w:val="21"/>
              </w:rPr>
              <w:t>1 + 1</w:t>
            </w:r>
          </w:p>
        </w:tc>
      </w:tr>
      <w:tr w:rsidR="00E05E4D" w14:paraId="04EED668" w14:textId="77777777" w:rsidTr="00E05E4D">
        <w:tc>
          <w:tcPr>
            <w:tcW w:w="1882" w:type="dxa"/>
            <w:vMerge/>
            <w:tcBorders>
              <w:top w:val="single" w:sz="12" w:space="0" w:color="auto"/>
              <w:left w:val="single" w:sz="12" w:space="0" w:color="auto"/>
              <w:bottom w:val="single" w:sz="12" w:space="0" w:color="auto"/>
              <w:right w:val="single" w:sz="12" w:space="0" w:color="auto"/>
            </w:tcBorders>
            <w:vAlign w:val="center"/>
          </w:tcPr>
          <w:p w14:paraId="75F6A1CB" w14:textId="77777777" w:rsidR="00E05E4D" w:rsidRDefault="00E05E4D" w:rsidP="00E05E4D">
            <w:pPr>
              <w:pStyle w:val="ab"/>
              <w:ind w:firstLine="382"/>
              <w:jc w:val="center"/>
              <w:rPr>
                <w:rFonts w:eastAsiaTheme="minorEastAsia"/>
                <w:b/>
                <w:bCs/>
                <w:spacing w:val="-10"/>
                <w:kern w:val="0"/>
                <w:szCs w:val="21"/>
              </w:rPr>
            </w:pPr>
          </w:p>
        </w:tc>
        <w:tc>
          <w:tcPr>
            <w:tcW w:w="4360" w:type="dxa"/>
            <w:gridSpan w:val="2"/>
            <w:tcBorders>
              <w:top w:val="single" w:sz="12" w:space="0" w:color="auto"/>
              <w:left w:val="single" w:sz="12" w:space="0" w:color="auto"/>
              <w:bottom w:val="single" w:sz="12" w:space="0" w:color="auto"/>
              <w:right w:val="single" w:sz="12" w:space="0" w:color="auto"/>
            </w:tcBorders>
            <w:vAlign w:val="center"/>
          </w:tcPr>
          <w:p w14:paraId="11A9ED72" w14:textId="77777777" w:rsidR="00E05E4D" w:rsidRDefault="00E05E4D" w:rsidP="00E05E4D">
            <w:pPr>
              <w:pStyle w:val="ab"/>
              <w:ind w:firstLineChars="0" w:firstLine="0"/>
              <w:jc w:val="center"/>
              <w:rPr>
                <w:rFonts w:eastAsiaTheme="minorEastAsia"/>
                <w:b/>
                <w:bCs/>
                <w:spacing w:val="-10"/>
                <w:kern w:val="0"/>
                <w:szCs w:val="21"/>
              </w:rPr>
            </w:pPr>
            <w:proofErr w:type="gramStart"/>
            <w:r>
              <w:rPr>
                <w:rFonts w:eastAsiaTheme="minorEastAsia"/>
                <w:b/>
                <w:bCs/>
                <w:spacing w:val="-10"/>
                <w:kern w:val="0"/>
                <w:szCs w:val="21"/>
              </w:rPr>
              <w:t>优硕</w:t>
            </w:r>
            <w:proofErr w:type="gramEnd"/>
            <w:r>
              <w:rPr>
                <w:rFonts w:eastAsiaTheme="minorEastAsia"/>
                <w:b/>
                <w:bCs/>
                <w:spacing w:val="-10"/>
                <w:kern w:val="0"/>
                <w:szCs w:val="21"/>
              </w:rPr>
              <w:t xml:space="preserve"> + </w:t>
            </w:r>
            <w:r>
              <w:rPr>
                <w:rFonts w:eastAsiaTheme="minorEastAsia"/>
                <w:b/>
                <w:bCs/>
                <w:spacing w:val="-10"/>
                <w:kern w:val="0"/>
                <w:szCs w:val="21"/>
              </w:rPr>
              <w:t>提名</w:t>
            </w:r>
          </w:p>
        </w:tc>
        <w:tc>
          <w:tcPr>
            <w:tcW w:w="1294" w:type="dxa"/>
            <w:tcBorders>
              <w:top w:val="single" w:sz="12" w:space="0" w:color="auto"/>
              <w:left w:val="single" w:sz="12" w:space="0" w:color="auto"/>
              <w:bottom w:val="single" w:sz="12" w:space="0" w:color="auto"/>
              <w:right w:val="single" w:sz="12" w:space="0" w:color="auto"/>
            </w:tcBorders>
            <w:vAlign w:val="center"/>
          </w:tcPr>
          <w:p w14:paraId="3F06FC44"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b/>
                <w:bCs/>
                <w:spacing w:val="-10"/>
                <w:kern w:val="0"/>
                <w:szCs w:val="21"/>
              </w:rPr>
              <w:t>1 + 0</w:t>
            </w:r>
          </w:p>
        </w:tc>
        <w:tc>
          <w:tcPr>
            <w:tcW w:w="1280" w:type="dxa"/>
            <w:tcBorders>
              <w:top w:val="single" w:sz="12" w:space="0" w:color="auto"/>
              <w:left w:val="single" w:sz="12" w:space="0" w:color="auto"/>
              <w:bottom w:val="single" w:sz="12" w:space="0" w:color="auto"/>
              <w:right w:val="single" w:sz="12" w:space="0" w:color="auto"/>
            </w:tcBorders>
            <w:vAlign w:val="center"/>
          </w:tcPr>
          <w:p w14:paraId="0A088BFB"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b/>
                <w:bCs/>
                <w:spacing w:val="-10"/>
                <w:kern w:val="0"/>
                <w:szCs w:val="21"/>
              </w:rPr>
              <w:t>0 + 1</w:t>
            </w:r>
          </w:p>
        </w:tc>
      </w:tr>
      <w:tr w:rsidR="00E05E4D" w14:paraId="03F72DA8" w14:textId="77777777" w:rsidTr="00E05E4D">
        <w:tc>
          <w:tcPr>
            <w:tcW w:w="1882" w:type="dxa"/>
            <w:vMerge w:val="restart"/>
            <w:tcBorders>
              <w:top w:val="single" w:sz="12" w:space="0" w:color="auto"/>
              <w:left w:val="single" w:sz="12" w:space="0" w:color="auto"/>
              <w:bottom w:val="single" w:sz="12" w:space="0" w:color="auto"/>
              <w:right w:val="single" w:sz="12" w:space="0" w:color="auto"/>
            </w:tcBorders>
            <w:vAlign w:val="center"/>
          </w:tcPr>
          <w:p w14:paraId="59A40C6D"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b/>
                <w:bCs/>
                <w:spacing w:val="-10"/>
                <w:kern w:val="0"/>
                <w:szCs w:val="21"/>
              </w:rPr>
              <w:t>浙江省</w:t>
            </w:r>
          </w:p>
          <w:p w14:paraId="057D97BB"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b/>
                <w:bCs/>
                <w:spacing w:val="-10"/>
                <w:kern w:val="0"/>
                <w:szCs w:val="21"/>
              </w:rPr>
              <w:t>优秀学位论文</w:t>
            </w:r>
          </w:p>
        </w:tc>
        <w:tc>
          <w:tcPr>
            <w:tcW w:w="4360" w:type="dxa"/>
            <w:gridSpan w:val="2"/>
            <w:tcBorders>
              <w:top w:val="single" w:sz="12" w:space="0" w:color="auto"/>
              <w:left w:val="single" w:sz="12" w:space="0" w:color="auto"/>
              <w:bottom w:val="single" w:sz="12" w:space="0" w:color="auto"/>
              <w:right w:val="single" w:sz="12" w:space="0" w:color="auto"/>
            </w:tcBorders>
            <w:vAlign w:val="center"/>
          </w:tcPr>
          <w:p w14:paraId="3E328426" w14:textId="77777777" w:rsidR="00E05E4D" w:rsidRDefault="00E05E4D" w:rsidP="00E05E4D">
            <w:pPr>
              <w:pStyle w:val="ab"/>
              <w:ind w:firstLineChars="0" w:firstLine="0"/>
              <w:jc w:val="center"/>
              <w:rPr>
                <w:rFonts w:eastAsiaTheme="minorEastAsia"/>
                <w:b/>
                <w:bCs/>
                <w:spacing w:val="-10"/>
                <w:kern w:val="0"/>
                <w:szCs w:val="21"/>
              </w:rPr>
            </w:pPr>
            <w:proofErr w:type="gramStart"/>
            <w:r>
              <w:rPr>
                <w:rFonts w:eastAsiaTheme="minorEastAsia"/>
                <w:b/>
                <w:bCs/>
                <w:spacing w:val="-10"/>
                <w:kern w:val="0"/>
                <w:szCs w:val="21"/>
              </w:rPr>
              <w:t>优博</w:t>
            </w:r>
            <w:proofErr w:type="gramEnd"/>
            <w:r>
              <w:rPr>
                <w:rFonts w:eastAsiaTheme="minorEastAsia"/>
                <w:b/>
                <w:bCs/>
                <w:spacing w:val="-10"/>
                <w:kern w:val="0"/>
                <w:szCs w:val="21"/>
              </w:rPr>
              <w:t xml:space="preserve"> + </w:t>
            </w:r>
            <w:r>
              <w:rPr>
                <w:rFonts w:eastAsiaTheme="minorEastAsia"/>
                <w:b/>
                <w:bCs/>
                <w:spacing w:val="-10"/>
                <w:kern w:val="0"/>
                <w:szCs w:val="21"/>
              </w:rPr>
              <w:t>提名</w:t>
            </w:r>
          </w:p>
        </w:tc>
        <w:tc>
          <w:tcPr>
            <w:tcW w:w="1294" w:type="dxa"/>
            <w:tcBorders>
              <w:top w:val="single" w:sz="12" w:space="0" w:color="auto"/>
              <w:left w:val="single" w:sz="12" w:space="0" w:color="auto"/>
              <w:bottom w:val="single" w:sz="12" w:space="0" w:color="auto"/>
              <w:right w:val="single" w:sz="12" w:space="0" w:color="auto"/>
            </w:tcBorders>
            <w:vAlign w:val="center"/>
          </w:tcPr>
          <w:p w14:paraId="33048DE2"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b/>
                <w:bCs/>
                <w:spacing w:val="-10"/>
                <w:kern w:val="0"/>
                <w:szCs w:val="21"/>
              </w:rPr>
              <w:t>1 + 1</w:t>
            </w:r>
          </w:p>
        </w:tc>
        <w:tc>
          <w:tcPr>
            <w:tcW w:w="1280" w:type="dxa"/>
            <w:tcBorders>
              <w:top w:val="single" w:sz="12" w:space="0" w:color="auto"/>
              <w:left w:val="single" w:sz="12" w:space="0" w:color="auto"/>
              <w:bottom w:val="single" w:sz="12" w:space="0" w:color="auto"/>
              <w:right w:val="single" w:sz="12" w:space="0" w:color="auto"/>
            </w:tcBorders>
            <w:vAlign w:val="center"/>
          </w:tcPr>
          <w:p w14:paraId="50C3D60A"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b/>
                <w:bCs/>
                <w:spacing w:val="-10"/>
                <w:kern w:val="0"/>
                <w:szCs w:val="21"/>
              </w:rPr>
              <w:t>1 + 0</w:t>
            </w:r>
          </w:p>
        </w:tc>
      </w:tr>
      <w:tr w:rsidR="00E05E4D" w14:paraId="61D4E854" w14:textId="77777777" w:rsidTr="00E05E4D">
        <w:tc>
          <w:tcPr>
            <w:tcW w:w="1882" w:type="dxa"/>
            <w:vMerge/>
            <w:tcBorders>
              <w:top w:val="single" w:sz="12" w:space="0" w:color="auto"/>
              <w:left w:val="single" w:sz="12" w:space="0" w:color="auto"/>
              <w:bottom w:val="single" w:sz="12" w:space="0" w:color="auto"/>
              <w:right w:val="single" w:sz="12" w:space="0" w:color="auto"/>
            </w:tcBorders>
            <w:vAlign w:val="center"/>
          </w:tcPr>
          <w:p w14:paraId="3C9F2859" w14:textId="77777777" w:rsidR="00E05E4D" w:rsidRDefault="00E05E4D" w:rsidP="00E05E4D">
            <w:pPr>
              <w:pStyle w:val="ab"/>
              <w:ind w:firstLine="382"/>
              <w:jc w:val="center"/>
              <w:rPr>
                <w:rFonts w:eastAsiaTheme="minorEastAsia"/>
                <w:b/>
                <w:bCs/>
                <w:spacing w:val="-10"/>
                <w:kern w:val="0"/>
                <w:szCs w:val="21"/>
              </w:rPr>
            </w:pPr>
          </w:p>
        </w:tc>
        <w:tc>
          <w:tcPr>
            <w:tcW w:w="4360" w:type="dxa"/>
            <w:gridSpan w:val="2"/>
            <w:tcBorders>
              <w:top w:val="single" w:sz="12" w:space="0" w:color="auto"/>
              <w:left w:val="single" w:sz="12" w:space="0" w:color="auto"/>
              <w:bottom w:val="single" w:sz="12" w:space="0" w:color="auto"/>
              <w:right w:val="single" w:sz="12" w:space="0" w:color="auto"/>
            </w:tcBorders>
            <w:vAlign w:val="center"/>
          </w:tcPr>
          <w:p w14:paraId="40DBBF84" w14:textId="77777777" w:rsidR="00E05E4D" w:rsidRDefault="00E05E4D" w:rsidP="00E05E4D">
            <w:pPr>
              <w:pStyle w:val="ab"/>
              <w:ind w:firstLineChars="0" w:firstLine="0"/>
              <w:jc w:val="center"/>
              <w:rPr>
                <w:rFonts w:eastAsiaTheme="minorEastAsia"/>
                <w:b/>
                <w:bCs/>
                <w:spacing w:val="-10"/>
                <w:kern w:val="0"/>
                <w:szCs w:val="21"/>
              </w:rPr>
            </w:pPr>
            <w:proofErr w:type="gramStart"/>
            <w:r>
              <w:rPr>
                <w:rFonts w:eastAsiaTheme="minorEastAsia"/>
                <w:b/>
                <w:bCs/>
                <w:spacing w:val="-10"/>
                <w:kern w:val="0"/>
                <w:szCs w:val="21"/>
              </w:rPr>
              <w:t>优硕</w:t>
            </w:r>
            <w:proofErr w:type="gramEnd"/>
            <w:r>
              <w:rPr>
                <w:rFonts w:eastAsiaTheme="minorEastAsia"/>
                <w:b/>
                <w:bCs/>
                <w:spacing w:val="-10"/>
                <w:kern w:val="0"/>
                <w:szCs w:val="21"/>
              </w:rPr>
              <w:t xml:space="preserve"> + </w:t>
            </w:r>
            <w:r>
              <w:rPr>
                <w:rFonts w:eastAsiaTheme="minorEastAsia"/>
                <w:b/>
                <w:bCs/>
                <w:spacing w:val="-10"/>
                <w:kern w:val="0"/>
                <w:szCs w:val="21"/>
              </w:rPr>
              <w:t>提名</w:t>
            </w:r>
          </w:p>
        </w:tc>
        <w:tc>
          <w:tcPr>
            <w:tcW w:w="1294" w:type="dxa"/>
            <w:tcBorders>
              <w:top w:val="single" w:sz="12" w:space="0" w:color="auto"/>
              <w:left w:val="single" w:sz="12" w:space="0" w:color="auto"/>
              <w:bottom w:val="single" w:sz="12" w:space="0" w:color="auto"/>
              <w:right w:val="single" w:sz="12" w:space="0" w:color="auto"/>
            </w:tcBorders>
            <w:vAlign w:val="center"/>
          </w:tcPr>
          <w:p w14:paraId="494EF4FB"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b/>
                <w:bCs/>
                <w:spacing w:val="-10"/>
                <w:kern w:val="0"/>
                <w:szCs w:val="21"/>
              </w:rPr>
              <w:t>2 + 0</w:t>
            </w:r>
          </w:p>
        </w:tc>
        <w:tc>
          <w:tcPr>
            <w:tcW w:w="1280" w:type="dxa"/>
            <w:tcBorders>
              <w:top w:val="single" w:sz="12" w:space="0" w:color="auto"/>
              <w:left w:val="single" w:sz="12" w:space="0" w:color="auto"/>
              <w:bottom w:val="single" w:sz="12" w:space="0" w:color="auto"/>
              <w:right w:val="single" w:sz="12" w:space="0" w:color="auto"/>
            </w:tcBorders>
            <w:vAlign w:val="center"/>
          </w:tcPr>
          <w:p w14:paraId="75192CB4" w14:textId="77777777" w:rsidR="00E05E4D" w:rsidRDefault="00E05E4D" w:rsidP="00E05E4D">
            <w:pPr>
              <w:pStyle w:val="ab"/>
              <w:ind w:firstLineChars="0" w:firstLine="0"/>
              <w:jc w:val="center"/>
              <w:rPr>
                <w:rFonts w:eastAsiaTheme="minorEastAsia"/>
                <w:b/>
                <w:bCs/>
                <w:spacing w:val="-10"/>
                <w:kern w:val="0"/>
                <w:szCs w:val="21"/>
              </w:rPr>
            </w:pPr>
            <w:r>
              <w:rPr>
                <w:rFonts w:eastAsiaTheme="minorEastAsia"/>
                <w:b/>
                <w:bCs/>
                <w:spacing w:val="-10"/>
                <w:kern w:val="0"/>
                <w:szCs w:val="21"/>
              </w:rPr>
              <w:t>1 + 0</w:t>
            </w:r>
          </w:p>
        </w:tc>
      </w:tr>
    </w:tbl>
    <w:p w14:paraId="52DF1E0D" w14:textId="77777777" w:rsidR="00870EF7" w:rsidRDefault="00870EF7">
      <w:pPr>
        <w:pStyle w:val="ab"/>
        <w:ind w:firstLineChars="0" w:firstLine="0"/>
        <w:rPr>
          <w:rFonts w:ascii="仿宋_GB2312" w:eastAsia="仿宋_GB2312"/>
          <w:sz w:val="24"/>
        </w:rPr>
      </w:pPr>
    </w:p>
    <w:p w14:paraId="5490C72B" w14:textId="77777777" w:rsidR="00870EF7" w:rsidRDefault="00870EF7">
      <w:pPr>
        <w:pStyle w:val="ab"/>
        <w:ind w:firstLineChars="0" w:firstLine="0"/>
        <w:rPr>
          <w:rFonts w:ascii="仿宋_GB2312" w:eastAsia="仿宋_GB2312"/>
          <w:sz w:val="24"/>
        </w:rPr>
      </w:pPr>
    </w:p>
    <w:p w14:paraId="51358C6B" w14:textId="77777777" w:rsidR="00870EF7" w:rsidRDefault="00870EF7">
      <w:pPr>
        <w:pStyle w:val="ab"/>
        <w:ind w:firstLineChars="0" w:firstLine="0"/>
        <w:rPr>
          <w:rFonts w:ascii="仿宋_GB2312" w:eastAsia="仿宋_GB2312"/>
          <w:sz w:val="24"/>
        </w:rPr>
      </w:pPr>
    </w:p>
    <w:p w14:paraId="0E58CFDF" w14:textId="77777777" w:rsidR="00870EF7" w:rsidRDefault="00870EF7">
      <w:pPr>
        <w:widowControl/>
        <w:jc w:val="left"/>
        <w:rPr>
          <w:rFonts w:ascii="仿宋_GB2312" w:eastAsia="仿宋_GB2312"/>
          <w:color w:val="FF0000"/>
          <w:sz w:val="24"/>
        </w:rPr>
      </w:pPr>
    </w:p>
    <w:p w14:paraId="002B602D" w14:textId="77777777" w:rsidR="00870EF7" w:rsidRDefault="00870EF7">
      <w:pPr>
        <w:pStyle w:val="ab"/>
        <w:ind w:firstLineChars="0" w:firstLine="0"/>
        <w:rPr>
          <w:rFonts w:asciiTheme="minorEastAsia" w:eastAsiaTheme="minorEastAsia" w:hAnsiTheme="minorEastAsia"/>
        </w:rPr>
      </w:pPr>
    </w:p>
    <w:sectPr w:rsidR="00870E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5B6E8" w14:textId="77777777" w:rsidR="0067315D" w:rsidRDefault="0067315D" w:rsidP="00E27002">
      <w:r>
        <w:separator/>
      </w:r>
    </w:p>
  </w:endnote>
  <w:endnote w:type="continuationSeparator" w:id="0">
    <w:p w14:paraId="43C82478" w14:textId="77777777" w:rsidR="0067315D" w:rsidRDefault="0067315D" w:rsidP="00E2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E4567" w14:textId="77777777" w:rsidR="0067315D" w:rsidRDefault="0067315D" w:rsidP="00E27002">
      <w:r>
        <w:separator/>
      </w:r>
    </w:p>
  </w:footnote>
  <w:footnote w:type="continuationSeparator" w:id="0">
    <w:p w14:paraId="726CD983" w14:textId="77777777" w:rsidR="0067315D" w:rsidRDefault="0067315D" w:rsidP="00E270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A51F7B"/>
    <w:rsid w:val="00010838"/>
    <w:rsid w:val="00073185"/>
    <w:rsid w:val="000C51A0"/>
    <w:rsid w:val="000C7FD1"/>
    <w:rsid w:val="000E69C8"/>
    <w:rsid w:val="000E71B1"/>
    <w:rsid w:val="000F2412"/>
    <w:rsid w:val="001055E7"/>
    <w:rsid w:val="00116027"/>
    <w:rsid w:val="00124FDC"/>
    <w:rsid w:val="001835ED"/>
    <w:rsid w:val="001A1E5A"/>
    <w:rsid w:val="001A2291"/>
    <w:rsid w:val="001A329F"/>
    <w:rsid w:val="001B7F8E"/>
    <w:rsid w:val="001C0D72"/>
    <w:rsid w:val="001C0F02"/>
    <w:rsid w:val="001E11D7"/>
    <w:rsid w:val="001F7D68"/>
    <w:rsid w:val="002324F0"/>
    <w:rsid w:val="00236C00"/>
    <w:rsid w:val="0028483A"/>
    <w:rsid w:val="00291592"/>
    <w:rsid w:val="002D6EBB"/>
    <w:rsid w:val="00311839"/>
    <w:rsid w:val="003168CE"/>
    <w:rsid w:val="00320126"/>
    <w:rsid w:val="00321859"/>
    <w:rsid w:val="00326ADA"/>
    <w:rsid w:val="003C294B"/>
    <w:rsid w:val="003C2D90"/>
    <w:rsid w:val="00491322"/>
    <w:rsid w:val="0049779E"/>
    <w:rsid w:val="004B1AE6"/>
    <w:rsid w:val="004F53C7"/>
    <w:rsid w:val="00503AB3"/>
    <w:rsid w:val="0056023B"/>
    <w:rsid w:val="005824CD"/>
    <w:rsid w:val="005A2211"/>
    <w:rsid w:val="005D2C11"/>
    <w:rsid w:val="005F62E6"/>
    <w:rsid w:val="00624312"/>
    <w:rsid w:val="00635581"/>
    <w:rsid w:val="00650D9C"/>
    <w:rsid w:val="006535BD"/>
    <w:rsid w:val="00670680"/>
    <w:rsid w:val="0067315D"/>
    <w:rsid w:val="00673AD0"/>
    <w:rsid w:val="00674B52"/>
    <w:rsid w:val="006A7D13"/>
    <w:rsid w:val="006B1FCA"/>
    <w:rsid w:val="006C1EFC"/>
    <w:rsid w:val="006C2F14"/>
    <w:rsid w:val="006D334D"/>
    <w:rsid w:val="006D7D20"/>
    <w:rsid w:val="00720352"/>
    <w:rsid w:val="00735383"/>
    <w:rsid w:val="00785F83"/>
    <w:rsid w:val="007A5B1C"/>
    <w:rsid w:val="0082768F"/>
    <w:rsid w:val="00832F14"/>
    <w:rsid w:val="00870EF7"/>
    <w:rsid w:val="008A3634"/>
    <w:rsid w:val="008A5706"/>
    <w:rsid w:val="008D5081"/>
    <w:rsid w:val="009137DF"/>
    <w:rsid w:val="00942329"/>
    <w:rsid w:val="00951401"/>
    <w:rsid w:val="00953214"/>
    <w:rsid w:val="00954C84"/>
    <w:rsid w:val="00984269"/>
    <w:rsid w:val="0099072B"/>
    <w:rsid w:val="0099470B"/>
    <w:rsid w:val="009C4CCB"/>
    <w:rsid w:val="00A14465"/>
    <w:rsid w:val="00A15C35"/>
    <w:rsid w:val="00A51F7B"/>
    <w:rsid w:val="00A60AF4"/>
    <w:rsid w:val="00A81888"/>
    <w:rsid w:val="00A94C60"/>
    <w:rsid w:val="00AB267B"/>
    <w:rsid w:val="00B33E3D"/>
    <w:rsid w:val="00B83BE2"/>
    <w:rsid w:val="00BE218F"/>
    <w:rsid w:val="00C22499"/>
    <w:rsid w:val="00C8337C"/>
    <w:rsid w:val="00CA31FB"/>
    <w:rsid w:val="00D041B0"/>
    <w:rsid w:val="00D2112C"/>
    <w:rsid w:val="00D26265"/>
    <w:rsid w:val="00D30C95"/>
    <w:rsid w:val="00D3195F"/>
    <w:rsid w:val="00D72BA6"/>
    <w:rsid w:val="00E05283"/>
    <w:rsid w:val="00E05E4D"/>
    <w:rsid w:val="00E120EE"/>
    <w:rsid w:val="00E25A02"/>
    <w:rsid w:val="00E25C3F"/>
    <w:rsid w:val="00E27002"/>
    <w:rsid w:val="00E50D27"/>
    <w:rsid w:val="00E62E33"/>
    <w:rsid w:val="00E96F4E"/>
    <w:rsid w:val="00EF07E8"/>
    <w:rsid w:val="00EF48B4"/>
    <w:rsid w:val="00F1200E"/>
    <w:rsid w:val="00F37A04"/>
    <w:rsid w:val="00F44005"/>
    <w:rsid w:val="00F9127C"/>
    <w:rsid w:val="00FA67C5"/>
    <w:rsid w:val="04ED4BEA"/>
    <w:rsid w:val="05D1012B"/>
    <w:rsid w:val="09E0733A"/>
    <w:rsid w:val="0B07599A"/>
    <w:rsid w:val="0B2A29C3"/>
    <w:rsid w:val="0D0D0D6E"/>
    <w:rsid w:val="100B29EE"/>
    <w:rsid w:val="101B1B9A"/>
    <w:rsid w:val="10C03380"/>
    <w:rsid w:val="13E45D31"/>
    <w:rsid w:val="1AFC4CE9"/>
    <w:rsid w:val="1C6C6B9D"/>
    <w:rsid w:val="1E491AA5"/>
    <w:rsid w:val="244059BA"/>
    <w:rsid w:val="25491418"/>
    <w:rsid w:val="258A368E"/>
    <w:rsid w:val="2A393BFB"/>
    <w:rsid w:val="2BF51EEE"/>
    <w:rsid w:val="2C18599F"/>
    <w:rsid w:val="31086949"/>
    <w:rsid w:val="33010C9A"/>
    <w:rsid w:val="333E2537"/>
    <w:rsid w:val="34F75D34"/>
    <w:rsid w:val="39B32BD7"/>
    <w:rsid w:val="3C1F08C9"/>
    <w:rsid w:val="3D872571"/>
    <w:rsid w:val="3DFF7E48"/>
    <w:rsid w:val="41996F08"/>
    <w:rsid w:val="495D3335"/>
    <w:rsid w:val="4ACB74F7"/>
    <w:rsid w:val="4DCF2582"/>
    <w:rsid w:val="4E7D41AC"/>
    <w:rsid w:val="4F082FA2"/>
    <w:rsid w:val="51124F7E"/>
    <w:rsid w:val="51F7775F"/>
    <w:rsid w:val="54C01423"/>
    <w:rsid w:val="551427C3"/>
    <w:rsid w:val="56A85CFA"/>
    <w:rsid w:val="59EA4662"/>
    <w:rsid w:val="5CC44A1E"/>
    <w:rsid w:val="5D7223E6"/>
    <w:rsid w:val="60C57A73"/>
    <w:rsid w:val="61131384"/>
    <w:rsid w:val="63F91DFF"/>
    <w:rsid w:val="65124468"/>
    <w:rsid w:val="665322E3"/>
    <w:rsid w:val="666C1B19"/>
    <w:rsid w:val="667367C1"/>
    <w:rsid w:val="66964B2B"/>
    <w:rsid w:val="68112A26"/>
    <w:rsid w:val="70A022F7"/>
    <w:rsid w:val="765466CC"/>
    <w:rsid w:val="795A5FDB"/>
    <w:rsid w:val="79A84B20"/>
    <w:rsid w:val="7A2C78CF"/>
    <w:rsid w:val="7E047B0F"/>
    <w:rsid w:val="7F1C5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E0562"/>
  <w15:docId w15:val="{6BB3DF4D-794E-4852-89B4-BDBEDF66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Pr>
      <w:b/>
      <w:bCs/>
    </w:rPr>
  </w:style>
  <w:style w:type="paragraph" w:styleId="ab">
    <w:name w:val="List Paragraph"/>
    <w:basedOn w:val="a"/>
    <w:qFormat/>
    <w:pPr>
      <w:ind w:firstLineChars="200" w:firstLine="420"/>
    </w:p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6</Pages>
  <Words>820</Words>
  <Characters>4674</Characters>
  <Application>Microsoft Office Word</Application>
  <DocSecurity>0</DocSecurity>
  <Lines>38</Lines>
  <Paragraphs>10</Paragraphs>
  <ScaleCrop>false</ScaleCrop>
  <Company>Hewlett-Packard Company</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yedx</cp:lastModifiedBy>
  <cp:revision>162</cp:revision>
  <cp:lastPrinted>2024-06-24T08:51:00Z</cp:lastPrinted>
  <dcterms:created xsi:type="dcterms:W3CDTF">2017-02-23T06:04:00Z</dcterms:created>
  <dcterms:modified xsi:type="dcterms:W3CDTF">2024-06-24T11:39:00Z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BA5D7747903A42AB9BADBC90B0BC6AA6_13</vt:lpwstr>
  </property>
</Properties>
</file>