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464638" w:rsidP="00FD646C">
            <w:pPr>
              <w:jc w:val="center"/>
            </w:pPr>
            <w:r>
              <w:rPr>
                <w:rFonts w:hint="eastAsia"/>
              </w:rPr>
              <w:t>王玮</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464638"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464638" w:rsidP="00FD646C">
            <w:pPr>
              <w:jc w:val="center"/>
            </w:pPr>
            <w:r>
              <w:rPr>
                <w:rFonts w:hint="eastAsia"/>
              </w:rPr>
              <w:t>教授</w:t>
            </w:r>
          </w:p>
        </w:tc>
        <w:tc>
          <w:tcPr>
            <w:tcW w:w="1987" w:type="dxa"/>
            <w:vMerge w:val="restart"/>
            <w:vAlign w:val="center"/>
          </w:tcPr>
          <w:p w:rsidR="005F5D7C" w:rsidRDefault="00464638" w:rsidP="00FD646C">
            <w:pPr>
              <w:jc w:val="center"/>
            </w:pPr>
            <w:r>
              <w:rPr>
                <w:noProof/>
              </w:rPr>
              <w:drawing>
                <wp:inline distT="0" distB="0" distL="0" distR="0">
                  <wp:extent cx="1086416" cy="1086416"/>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w2015_smal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15757" cy="1115757"/>
                          </a:xfrm>
                          <a:prstGeom prst="rect">
                            <a:avLst/>
                          </a:prstGeom>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464638" w:rsidP="00FD646C">
            <w:pPr>
              <w:jc w:val="left"/>
            </w:pPr>
            <w:r>
              <w:t>http://m</w:t>
            </w:r>
            <w:r>
              <w:rPr>
                <w:rFonts w:hint="eastAsia"/>
              </w:rPr>
              <w:t>yp</w:t>
            </w:r>
            <w:r>
              <w:t>age.zju.edu.cn/wangw</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464638" w:rsidP="00FD646C">
            <w:pPr>
              <w:jc w:val="center"/>
            </w:pPr>
            <w:r>
              <w:rPr>
                <w:rFonts w:hint="eastAsia"/>
              </w:rPr>
              <w:t>信息与通信网络工程研究所</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464638" w:rsidP="00FD646C">
            <w:pPr>
              <w:jc w:val="center"/>
            </w:pPr>
            <w:r>
              <w:rPr>
                <w:rFonts w:hint="eastAsia"/>
              </w:rPr>
              <w:t>信电楼</w:t>
            </w:r>
            <w:r>
              <w:rPr>
                <w:rFonts w:hint="eastAsia"/>
              </w:rPr>
              <w:t>2</w:t>
            </w:r>
            <w:r>
              <w:t>28</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464638" w:rsidP="00FD646C">
            <w:pPr>
              <w:jc w:val="center"/>
            </w:pPr>
            <w:r>
              <w:t>w</w:t>
            </w:r>
            <w:r>
              <w:rPr>
                <w:rFonts w:hint="eastAsia"/>
              </w:rPr>
              <w:t>angw</w:t>
            </w:r>
            <w:r>
              <w:t>@zju.edu.cn</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464638" w:rsidP="00FD646C">
            <w:pPr>
              <w:jc w:val="center"/>
            </w:pPr>
            <w:r>
              <w:rPr>
                <w:rFonts w:hint="eastAsia"/>
              </w:rPr>
              <w:t>1</w:t>
            </w:r>
            <w:r>
              <w:t>3735446706</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Default="00464638" w:rsidP="00FD646C">
            <w:pPr>
              <w:jc w:val="center"/>
              <w:rPr>
                <w:rFonts w:hint="eastAsia"/>
              </w:rPr>
            </w:pPr>
            <w:r>
              <w:rPr>
                <w:rFonts w:hint="eastAsia"/>
              </w:rPr>
              <w:t>低时延无线通信，无线网络中的存储和计算</w:t>
            </w:r>
          </w:p>
        </w:tc>
        <w:tc>
          <w:tcPr>
            <w:tcW w:w="2835" w:type="dxa"/>
            <w:gridSpan w:val="2"/>
            <w:vAlign w:val="center"/>
          </w:tcPr>
          <w:p w:rsidR="00141D7B" w:rsidRDefault="00141D7B" w:rsidP="00FD646C">
            <w:pPr>
              <w:jc w:val="center"/>
            </w:pPr>
            <w:r>
              <w:rPr>
                <w:rFonts w:hint="eastAsia"/>
              </w:rPr>
              <w:t>指导学生数意向</w:t>
            </w:r>
            <w:r w:rsidR="00015EBF">
              <w:rPr>
                <w:rFonts w:hint="eastAsia"/>
              </w:rPr>
              <w:t>（每届</w:t>
            </w:r>
            <w:r w:rsidR="00015EBF">
              <w:t>不超过</w:t>
            </w:r>
            <w:r w:rsidR="00015EBF">
              <w:rPr>
                <w:rFonts w:hint="eastAsia"/>
              </w:rPr>
              <w:t>2</w:t>
            </w:r>
            <w:r w:rsidR="00015EBF">
              <w:rPr>
                <w:rFonts w:hint="eastAsia"/>
              </w:rPr>
              <w:t>个）</w:t>
            </w:r>
          </w:p>
        </w:tc>
        <w:tc>
          <w:tcPr>
            <w:tcW w:w="1987" w:type="dxa"/>
            <w:vAlign w:val="center"/>
          </w:tcPr>
          <w:p w:rsidR="00141D7B" w:rsidRDefault="00464638" w:rsidP="00FD646C">
            <w:pPr>
              <w:jc w:val="center"/>
            </w:pPr>
            <w:r>
              <w:rPr>
                <w:rFonts w:hint="eastAsia"/>
              </w:rPr>
              <w:t>2</w:t>
            </w:r>
          </w:p>
        </w:tc>
      </w:tr>
      <w:tr w:rsidR="00141D7B" w:rsidTr="00FD646C">
        <w:trPr>
          <w:trHeight w:val="1331"/>
        </w:trPr>
        <w:tc>
          <w:tcPr>
            <w:tcW w:w="8928" w:type="dxa"/>
            <w:gridSpan w:val="7"/>
          </w:tcPr>
          <w:p w:rsidR="00141D7B" w:rsidRDefault="00141D7B" w:rsidP="00FD646C">
            <w:r>
              <w:rPr>
                <w:rFonts w:hint="eastAsia"/>
              </w:rPr>
              <w:t>导师简历：</w:t>
            </w:r>
          </w:p>
          <w:p w:rsidR="00DE2FD1" w:rsidRPr="009E24D4" w:rsidRDefault="00464638" w:rsidP="00464638">
            <w:pPr>
              <w:pStyle w:val="a8"/>
              <w:rPr>
                <w:rFonts w:asciiTheme="minorHAnsi" w:hAnsiTheme="minorHAnsi" w:cstheme="minorHAnsi"/>
                <w:sz w:val="21"/>
                <w:szCs w:val="21"/>
              </w:rPr>
            </w:pPr>
            <w:r w:rsidRPr="009E24D4">
              <w:rPr>
                <w:rFonts w:asciiTheme="minorHAnsi" w:hAnsiTheme="minorHAnsi" w:cstheme="minorHAnsi"/>
                <w:sz w:val="21"/>
                <w:szCs w:val="21"/>
              </w:rPr>
              <w:t>2004</w:t>
            </w:r>
            <w:r w:rsidRPr="009E24D4">
              <w:rPr>
                <w:rFonts w:asciiTheme="minorHAnsi" w:hAnsiTheme="minorHAnsi" w:cstheme="minorHAnsi"/>
                <w:sz w:val="21"/>
                <w:szCs w:val="21"/>
              </w:rPr>
              <w:t>年和</w:t>
            </w:r>
            <w:r w:rsidRPr="009E24D4">
              <w:rPr>
                <w:rFonts w:asciiTheme="minorHAnsi" w:hAnsiTheme="minorHAnsi" w:cstheme="minorHAnsi"/>
                <w:sz w:val="21"/>
                <w:szCs w:val="21"/>
              </w:rPr>
              <w:t>2009</w:t>
            </w:r>
            <w:r w:rsidRPr="009E24D4">
              <w:rPr>
                <w:rFonts w:asciiTheme="minorHAnsi" w:hAnsiTheme="minorHAnsi" w:cstheme="minorHAnsi"/>
                <w:sz w:val="21"/>
                <w:szCs w:val="21"/>
              </w:rPr>
              <w:t>年于北京邮电大学分别获得学士和博士学位</w:t>
            </w:r>
            <w:r w:rsidRPr="009E24D4">
              <w:rPr>
                <w:rFonts w:asciiTheme="minorHAnsi" w:hAnsiTheme="minorHAnsi" w:cstheme="minorHAnsi"/>
                <w:sz w:val="21"/>
                <w:szCs w:val="21"/>
              </w:rPr>
              <w:t>，</w:t>
            </w:r>
            <w:r w:rsidRPr="009E24D4">
              <w:rPr>
                <w:rFonts w:asciiTheme="minorHAnsi" w:hAnsiTheme="minorHAnsi" w:cstheme="minorHAnsi"/>
                <w:sz w:val="21"/>
                <w:szCs w:val="21"/>
              </w:rPr>
              <w:t>2007</w:t>
            </w:r>
            <w:r w:rsidRPr="009E24D4">
              <w:rPr>
                <w:rFonts w:asciiTheme="minorHAnsi" w:hAnsiTheme="minorHAnsi" w:cstheme="minorHAnsi"/>
                <w:sz w:val="21"/>
                <w:szCs w:val="21"/>
              </w:rPr>
              <w:t>～</w:t>
            </w:r>
            <w:r w:rsidRPr="009E24D4">
              <w:rPr>
                <w:rFonts w:asciiTheme="minorHAnsi" w:hAnsiTheme="minorHAnsi" w:cstheme="minorHAnsi"/>
                <w:sz w:val="21"/>
                <w:szCs w:val="21"/>
              </w:rPr>
              <w:t>2008</w:t>
            </w:r>
            <w:r w:rsidRPr="009E24D4">
              <w:rPr>
                <w:rFonts w:asciiTheme="minorHAnsi" w:hAnsiTheme="minorHAnsi" w:cstheme="minorHAnsi"/>
                <w:sz w:val="21"/>
                <w:szCs w:val="21"/>
              </w:rPr>
              <w:t>年作为联合培养博士生访问美国密歇根大学，</w:t>
            </w:r>
            <w:r w:rsidRPr="009E24D4">
              <w:rPr>
                <w:rFonts w:asciiTheme="minorHAnsi" w:hAnsiTheme="minorHAnsi" w:cstheme="minorHAnsi"/>
                <w:sz w:val="21"/>
                <w:szCs w:val="21"/>
              </w:rPr>
              <w:t>2013</w:t>
            </w:r>
            <w:r w:rsidRPr="009E24D4">
              <w:rPr>
                <w:rFonts w:asciiTheme="minorHAnsi" w:hAnsiTheme="minorHAnsi" w:cstheme="minorHAnsi"/>
                <w:sz w:val="21"/>
                <w:szCs w:val="21"/>
              </w:rPr>
              <w:t>～</w:t>
            </w:r>
            <w:r w:rsidRPr="009E24D4">
              <w:rPr>
                <w:rFonts w:asciiTheme="minorHAnsi" w:hAnsiTheme="minorHAnsi" w:cstheme="minorHAnsi"/>
                <w:sz w:val="21"/>
                <w:szCs w:val="21"/>
              </w:rPr>
              <w:t>2015</w:t>
            </w:r>
            <w:r w:rsidRPr="009E24D4">
              <w:rPr>
                <w:rFonts w:asciiTheme="minorHAnsi" w:hAnsiTheme="minorHAnsi" w:cstheme="minorHAnsi"/>
                <w:sz w:val="21"/>
                <w:szCs w:val="21"/>
              </w:rPr>
              <w:t>年作为香江学者访问香港科技大学。针对低时延无线通信的基础理论和关键技术开展了系统性的研究，为下一代无线通信系统和工业物联网的设计提供了理论支撑和技术参考。相关研究成果发表论文</w:t>
            </w:r>
            <w:r w:rsidRPr="009E24D4">
              <w:rPr>
                <w:rFonts w:asciiTheme="minorHAnsi" w:hAnsiTheme="minorHAnsi" w:cstheme="minorHAnsi"/>
                <w:sz w:val="21"/>
                <w:szCs w:val="21"/>
              </w:rPr>
              <w:t>100</w:t>
            </w:r>
            <w:r w:rsidRPr="009E24D4">
              <w:rPr>
                <w:rFonts w:asciiTheme="minorHAnsi" w:hAnsiTheme="minorHAnsi" w:cstheme="minorHAnsi"/>
                <w:sz w:val="21"/>
                <w:szCs w:val="21"/>
              </w:rPr>
              <w:t>余篇，授权国家发明专利</w:t>
            </w:r>
            <w:r w:rsidRPr="009E24D4">
              <w:rPr>
                <w:rFonts w:asciiTheme="minorHAnsi" w:hAnsiTheme="minorHAnsi" w:cstheme="minorHAnsi"/>
                <w:sz w:val="21"/>
                <w:szCs w:val="21"/>
              </w:rPr>
              <w:t>10</w:t>
            </w:r>
            <w:r w:rsidRPr="009E24D4">
              <w:rPr>
                <w:rFonts w:asciiTheme="minorHAnsi" w:hAnsiTheme="minorHAnsi" w:cstheme="minorHAnsi"/>
                <w:sz w:val="21"/>
                <w:szCs w:val="21"/>
              </w:rPr>
              <w:t>余项，提交标准化提案</w:t>
            </w:r>
            <w:r w:rsidRPr="009E24D4">
              <w:rPr>
                <w:rFonts w:asciiTheme="minorHAnsi" w:hAnsiTheme="minorHAnsi" w:cstheme="minorHAnsi"/>
                <w:sz w:val="21"/>
                <w:szCs w:val="21"/>
              </w:rPr>
              <w:t>13</w:t>
            </w:r>
            <w:r w:rsidRPr="009E24D4">
              <w:rPr>
                <w:rFonts w:asciiTheme="minorHAnsi" w:hAnsiTheme="minorHAnsi" w:cstheme="minorHAnsi"/>
                <w:sz w:val="21"/>
                <w:szCs w:val="21"/>
              </w:rPr>
              <w:t>篇。获得教育部高等学校优秀成果奖自然科学二等奖，浙江省通信学会科学技术奖一等奖。由于在无线通信领域取得的突出业绩，入选中国科协青年人才托举工程、香江学者计划，获得浙江省杰出青年科学基金资助。应邀担任浙江省通信学会副秘书长、中国通信学会青年工作委员会委员、浙江省电子信息技术标准化委员会委员，以及</w:t>
            </w:r>
            <w:r w:rsidRPr="009E24D4">
              <w:rPr>
                <w:rFonts w:asciiTheme="minorHAnsi" w:hAnsiTheme="minorHAnsi" w:cstheme="minorHAnsi"/>
                <w:sz w:val="21"/>
                <w:szCs w:val="21"/>
              </w:rPr>
              <w:t>IEEE JSAC</w:t>
            </w:r>
            <w:r w:rsidRPr="009E24D4">
              <w:rPr>
                <w:rFonts w:asciiTheme="minorHAnsi" w:hAnsiTheme="minorHAnsi" w:cstheme="minorHAnsi"/>
                <w:sz w:val="21"/>
                <w:szCs w:val="21"/>
              </w:rPr>
              <w:t>等</w:t>
            </w:r>
            <w:r w:rsidRPr="009E24D4">
              <w:rPr>
                <w:rFonts w:asciiTheme="minorHAnsi" w:hAnsiTheme="minorHAnsi" w:cstheme="minorHAnsi"/>
                <w:sz w:val="21"/>
                <w:szCs w:val="21"/>
              </w:rPr>
              <w:t>4</w:t>
            </w:r>
            <w:r w:rsidRPr="009E24D4">
              <w:rPr>
                <w:rFonts w:asciiTheme="minorHAnsi" w:hAnsiTheme="minorHAnsi" w:cstheme="minorHAnsi"/>
                <w:sz w:val="21"/>
                <w:szCs w:val="21"/>
              </w:rPr>
              <w:t>个国际期刊的编委。</w:t>
            </w:r>
          </w:p>
          <w:p w:rsidR="00464638" w:rsidRDefault="00464638" w:rsidP="00464638">
            <w:pPr>
              <w:pStyle w:val="a8"/>
              <w:rPr>
                <w:rFonts w:hint="eastAsia"/>
              </w:rPr>
            </w:pPr>
          </w:p>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464638" w:rsidRDefault="00464638" w:rsidP="00DE2FD1"/>
          <w:p w:rsidR="00464638" w:rsidRDefault="00464638" w:rsidP="00464638">
            <w:pPr>
              <w:pStyle w:val="a9"/>
              <w:numPr>
                <w:ilvl w:val="0"/>
                <w:numId w:val="1"/>
              </w:numPr>
              <w:spacing w:before="0" w:beforeAutospacing="0" w:after="0" w:afterAutospacing="0"/>
              <w:rPr>
                <w:rFonts w:eastAsia="宋体"/>
                <w:sz w:val="21"/>
                <w:szCs w:val="21"/>
              </w:rPr>
            </w:pPr>
            <w:r>
              <w:rPr>
                <w:rFonts w:eastAsia="宋体" w:hint="eastAsia"/>
                <w:sz w:val="21"/>
                <w:szCs w:val="21"/>
              </w:rPr>
              <w:t>下一代无线通信系统中的随机优化理论与方法</w:t>
            </w:r>
            <w:r>
              <w:rPr>
                <w:rFonts w:eastAsia="宋体"/>
                <w:sz w:val="21"/>
                <w:szCs w:val="21"/>
              </w:rPr>
              <w:t xml:space="preserve">, </w:t>
            </w:r>
            <w:r>
              <w:rPr>
                <w:rFonts w:eastAsia="宋体" w:hint="eastAsia"/>
                <w:sz w:val="21"/>
                <w:szCs w:val="21"/>
              </w:rPr>
              <w:t>教育部高等学校优秀成果奖自然科学二等奖</w:t>
            </w:r>
          </w:p>
          <w:p w:rsidR="00464638" w:rsidRDefault="00464638" w:rsidP="00464638">
            <w:pPr>
              <w:pStyle w:val="a9"/>
              <w:numPr>
                <w:ilvl w:val="0"/>
                <w:numId w:val="1"/>
              </w:numPr>
              <w:spacing w:before="0" w:beforeAutospacing="0" w:after="0" w:afterAutospacing="0"/>
              <w:rPr>
                <w:rFonts w:eastAsia="宋体" w:hint="eastAsia"/>
                <w:sz w:val="21"/>
                <w:szCs w:val="21"/>
              </w:rPr>
            </w:pPr>
            <w:r>
              <w:rPr>
                <w:rFonts w:eastAsia="宋体" w:hint="eastAsia"/>
                <w:sz w:val="21"/>
                <w:szCs w:val="21"/>
              </w:rPr>
              <w:t>异构无线网络的低时延通信理论与方法</w:t>
            </w:r>
            <w:r>
              <w:rPr>
                <w:rFonts w:eastAsia="宋体"/>
                <w:sz w:val="21"/>
                <w:szCs w:val="21"/>
              </w:rPr>
              <w:t xml:space="preserve">, </w:t>
            </w:r>
            <w:r>
              <w:rPr>
                <w:rFonts w:eastAsia="宋体" w:hint="eastAsia"/>
                <w:sz w:val="21"/>
                <w:szCs w:val="21"/>
              </w:rPr>
              <w:t>浙江省通信学会科学技术奖一等奖</w:t>
            </w:r>
            <w:r>
              <w:rPr>
                <w:rFonts w:eastAsia="宋体"/>
                <w:sz w:val="21"/>
                <w:szCs w:val="21"/>
              </w:rPr>
              <w:t xml:space="preserve">, </w:t>
            </w:r>
          </w:p>
          <w:p w:rsidR="00464638" w:rsidRPr="00464638" w:rsidRDefault="00464638" w:rsidP="00DE2FD1">
            <w:pPr>
              <w:pStyle w:val="a9"/>
              <w:numPr>
                <w:ilvl w:val="0"/>
                <w:numId w:val="1"/>
              </w:numPr>
              <w:spacing w:before="0" w:beforeAutospacing="0" w:after="0" w:afterAutospacing="0"/>
              <w:rPr>
                <w:rFonts w:eastAsia="宋体" w:hint="eastAsia"/>
                <w:sz w:val="21"/>
                <w:szCs w:val="21"/>
              </w:rPr>
            </w:pPr>
            <w:r w:rsidRPr="00464638">
              <w:rPr>
                <w:rFonts w:eastAsia="宋体" w:hint="eastAsia"/>
                <w:sz w:val="21"/>
                <w:szCs w:val="21"/>
              </w:rPr>
              <w:t>全国高等学校电子信息类专业青年教师授课竞赛</w:t>
            </w:r>
            <w:r w:rsidRPr="00464638">
              <w:rPr>
                <w:rFonts w:eastAsia="宋体"/>
                <w:sz w:val="21"/>
                <w:szCs w:val="21"/>
              </w:rPr>
              <w:t xml:space="preserve">, </w:t>
            </w:r>
            <w:r w:rsidRPr="00464638">
              <w:rPr>
                <w:rFonts w:eastAsia="宋体" w:hint="eastAsia"/>
                <w:sz w:val="21"/>
                <w:szCs w:val="21"/>
              </w:rPr>
              <w:t>全国二等奖，华东赛区一等奖</w:t>
            </w:r>
          </w:p>
          <w:p w:rsidR="00DE2FD1" w:rsidRDefault="00DE2FD1" w:rsidP="00DE2FD1"/>
          <w:p w:rsidR="00DE2FD1" w:rsidRDefault="00DE2FD1" w:rsidP="00DE2FD1">
            <w:r>
              <w:rPr>
                <w:rFonts w:hint="eastAsia"/>
              </w:rPr>
              <w:t>近三年共发表</w:t>
            </w:r>
            <w:r>
              <w:rPr>
                <w:rFonts w:hint="eastAsia"/>
              </w:rPr>
              <w:t>SCI</w:t>
            </w:r>
            <w:r>
              <w:rPr>
                <w:rFonts w:hint="eastAsia"/>
              </w:rPr>
              <w:t>收录学术论文</w:t>
            </w:r>
            <w:r w:rsidRPr="00850AD4">
              <w:rPr>
                <w:rFonts w:hint="eastAsia"/>
                <w:u w:val="single"/>
              </w:rPr>
              <w:t xml:space="preserve"> </w:t>
            </w:r>
            <w:r w:rsidR="00464638">
              <w:rPr>
                <w:u w:val="single"/>
              </w:rPr>
              <w:t>15</w:t>
            </w:r>
            <w:r w:rsidRPr="00850AD4">
              <w:rPr>
                <w:rFonts w:hint="eastAsia"/>
                <w:u w:val="single"/>
              </w:rPr>
              <w:t xml:space="preserve"> </w:t>
            </w:r>
            <w:r>
              <w:rPr>
                <w:rFonts w:hint="eastAsia"/>
              </w:rPr>
              <w:t>篇，列出不超过</w:t>
            </w:r>
            <w:r>
              <w:rPr>
                <w:rFonts w:hint="eastAsia"/>
              </w:rPr>
              <w:t>5</w:t>
            </w:r>
            <w:r>
              <w:rPr>
                <w:rFonts w:hint="eastAsia"/>
              </w:rPr>
              <w:t>篇代表性学术论文：</w:t>
            </w:r>
          </w:p>
          <w:tbl>
            <w:tblPr>
              <w:tblStyle w:val="a3"/>
              <w:tblW w:w="0" w:type="auto"/>
              <w:tblLook w:val="04A0" w:firstRow="1" w:lastRow="0" w:firstColumn="1" w:lastColumn="0" w:noHBand="0" w:noVBand="1"/>
            </w:tblPr>
            <w:tblGrid>
              <w:gridCol w:w="2372"/>
              <w:gridCol w:w="2178"/>
              <w:gridCol w:w="2068"/>
              <w:gridCol w:w="2084"/>
            </w:tblGrid>
            <w:tr w:rsidR="00DE2FD1" w:rsidTr="00C42E22">
              <w:tc>
                <w:tcPr>
                  <w:tcW w:w="2174" w:type="dxa"/>
                </w:tcPr>
                <w:p w:rsidR="00DE2FD1" w:rsidRDefault="00DE2FD1" w:rsidP="00DE2FD1">
                  <w:pPr>
                    <w:jc w:val="center"/>
                  </w:pPr>
                  <w:r>
                    <w:rPr>
                      <w:rFonts w:hint="eastAsia"/>
                    </w:rPr>
                    <w:t>论文名称</w:t>
                  </w:r>
                </w:p>
              </w:tc>
              <w:tc>
                <w:tcPr>
                  <w:tcW w:w="2174" w:type="dxa"/>
                </w:tcPr>
                <w:p w:rsidR="00DE2FD1" w:rsidRDefault="00DE2FD1" w:rsidP="00DE2FD1">
                  <w:pPr>
                    <w:jc w:val="center"/>
                  </w:pPr>
                  <w:r>
                    <w:rPr>
                      <w:rFonts w:hint="eastAsia"/>
                    </w:rPr>
                    <w:t>期刊名称</w:t>
                  </w:r>
                </w:p>
              </w:tc>
              <w:tc>
                <w:tcPr>
                  <w:tcW w:w="2174" w:type="dxa"/>
                </w:tcPr>
                <w:p w:rsidR="00DE2FD1" w:rsidRDefault="00DE2FD1" w:rsidP="00DE2FD1">
                  <w:pPr>
                    <w:jc w:val="center"/>
                  </w:pPr>
                  <w:r>
                    <w:rPr>
                      <w:rFonts w:hint="eastAsia"/>
                    </w:rPr>
                    <w:t>影响因子</w:t>
                  </w:r>
                </w:p>
              </w:tc>
              <w:tc>
                <w:tcPr>
                  <w:tcW w:w="2175" w:type="dxa"/>
                </w:tcPr>
                <w:p w:rsidR="00DE2FD1" w:rsidRDefault="00DE2FD1" w:rsidP="00DE2FD1">
                  <w:pPr>
                    <w:jc w:val="center"/>
                  </w:pPr>
                  <w:r>
                    <w:rPr>
                      <w:rFonts w:hint="eastAsia"/>
                    </w:rPr>
                    <w:t>发表时间</w:t>
                  </w:r>
                </w:p>
              </w:tc>
            </w:tr>
            <w:tr w:rsidR="00DE2FD1" w:rsidTr="00C42E22">
              <w:tc>
                <w:tcPr>
                  <w:tcW w:w="2174" w:type="dxa"/>
                </w:tcPr>
                <w:p w:rsidR="00DE2FD1"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Closed-Form Delay-Optimal Computation Offloading in Mobile Edge Computing Systems</w:t>
                  </w:r>
                </w:p>
              </w:tc>
              <w:tc>
                <w:tcPr>
                  <w:tcW w:w="2174" w:type="dxa"/>
                </w:tcPr>
                <w:p w:rsidR="00DE2FD1"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i/>
                      <w:iCs/>
                      <w:color w:val="000000" w:themeColor="text1"/>
                      <w:szCs w:val="21"/>
                      <w:shd w:val="clear" w:color="auto" w:fill="FFFFFF"/>
                    </w:rPr>
                    <w:t>IEEE Transactions on Wireless Communications</w:t>
                  </w:r>
                </w:p>
              </w:tc>
              <w:tc>
                <w:tcPr>
                  <w:tcW w:w="2174" w:type="dxa"/>
                </w:tcPr>
                <w:p w:rsidR="00DE2FD1" w:rsidRPr="00096A88" w:rsidRDefault="00096A88" w:rsidP="00DE2FD1">
                  <w:pPr>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rPr>
                    <w:t>6.394</w:t>
                  </w:r>
                </w:p>
              </w:tc>
              <w:tc>
                <w:tcPr>
                  <w:tcW w:w="2175" w:type="dxa"/>
                </w:tcPr>
                <w:p w:rsidR="00DE2FD1" w:rsidRPr="00096A88" w:rsidRDefault="00096A88" w:rsidP="00DE2FD1">
                  <w:pPr>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2019.10</w:t>
                  </w:r>
                </w:p>
              </w:tc>
            </w:tr>
            <w:tr w:rsidR="00DE2FD1" w:rsidTr="00C42E22">
              <w:tc>
                <w:tcPr>
                  <w:tcW w:w="2174" w:type="dxa"/>
                </w:tcPr>
                <w:p w:rsidR="00DE2FD1"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Distributed Packet Forwarding and Caching Based on Stochastic Network Utility Maximization</w:t>
                  </w:r>
                </w:p>
              </w:tc>
              <w:tc>
                <w:tcPr>
                  <w:tcW w:w="2174" w:type="dxa"/>
                </w:tcPr>
                <w:p w:rsidR="00DE2FD1"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i/>
                      <w:iCs/>
                      <w:color w:val="000000" w:themeColor="text1"/>
                      <w:szCs w:val="21"/>
                      <w:shd w:val="clear" w:color="auto" w:fill="FFFFFF"/>
                    </w:rPr>
                    <w:t>IEEE/ACM Transactions on Networking</w:t>
                  </w:r>
                </w:p>
              </w:tc>
              <w:tc>
                <w:tcPr>
                  <w:tcW w:w="2174" w:type="dxa"/>
                </w:tcPr>
                <w:p w:rsidR="00DE2FD1" w:rsidRPr="00096A88" w:rsidRDefault="00096A88" w:rsidP="00DE2FD1">
                  <w:pPr>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rPr>
                    <w:t>3.597</w:t>
                  </w:r>
                </w:p>
              </w:tc>
              <w:tc>
                <w:tcPr>
                  <w:tcW w:w="2175" w:type="dxa"/>
                </w:tcPr>
                <w:p w:rsidR="00DE2FD1" w:rsidRPr="00096A88" w:rsidRDefault="00096A88" w:rsidP="00DE2FD1">
                  <w:pPr>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2018.6</w:t>
                  </w:r>
                </w:p>
              </w:tc>
            </w:tr>
            <w:tr w:rsidR="00DE2FD1" w:rsidTr="00C42E22">
              <w:tc>
                <w:tcPr>
                  <w:tcW w:w="2174" w:type="dxa"/>
                </w:tcPr>
                <w:p w:rsidR="00DE2FD1"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Heterogeneous Spectrum Aggregation: Coexistence</w:t>
                  </w:r>
                  <w:r w:rsidRPr="00096A88">
                    <w:rPr>
                      <w:rFonts w:eastAsiaTheme="majorEastAsia" w:cstheme="minorHAnsi"/>
                      <w:color w:val="000000" w:themeColor="text1"/>
                      <w:szCs w:val="21"/>
                      <w:shd w:val="clear" w:color="auto" w:fill="FFFFFF"/>
                    </w:rPr>
                    <w:t xml:space="preserve"> f</w:t>
                  </w:r>
                  <w:r w:rsidRPr="00096A88">
                    <w:rPr>
                      <w:rFonts w:eastAsiaTheme="majorEastAsia" w:cstheme="minorHAnsi"/>
                      <w:color w:val="000000" w:themeColor="text1"/>
                      <w:szCs w:val="21"/>
                      <w:shd w:val="clear" w:color="auto" w:fill="FFFFFF"/>
                    </w:rPr>
                    <w:t>rom a Queue Stability Perspective</w:t>
                  </w:r>
                </w:p>
              </w:tc>
              <w:tc>
                <w:tcPr>
                  <w:tcW w:w="2174" w:type="dxa"/>
                </w:tcPr>
                <w:p w:rsidR="00096A88"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i/>
                      <w:iCs/>
                      <w:color w:val="000000" w:themeColor="text1"/>
                      <w:szCs w:val="21"/>
                      <w:shd w:val="clear" w:color="auto" w:fill="FFFFFF"/>
                    </w:rPr>
                    <w:t>IEEE Transactions on Wireless Communications</w:t>
                  </w:r>
                </w:p>
                <w:p w:rsidR="00DE2FD1" w:rsidRPr="00096A88" w:rsidRDefault="00DE2FD1" w:rsidP="00096A88">
                  <w:pPr>
                    <w:widowControl/>
                    <w:rPr>
                      <w:rFonts w:eastAsiaTheme="majorEastAsia" w:cstheme="minorHAnsi"/>
                      <w:color w:val="000000" w:themeColor="text1"/>
                      <w:szCs w:val="21"/>
                      <w:shd w:val="clear" w:color="auto" w:fill="FFFFFF"/>
                    </w:rPr>
                  </w:pPr>
                </w:p>
              </w:tc>
              <w:tc>
                <w:tcPr>
                  <w:tcW w:w="2174" w:type="dxa"/>
                </w:tcPr>
                <w:p w:rsidR="00DE2FD1" w:rsidRPr="00096A88" w:rsidRDefault="00096A88" w:rsidP="00096A88">
                  <w:pPr>
                    <w:widowControl/>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rPr>
                    <w:t>6.394</w:t>
                  </w:r>
                </w:p>
              </w:tc>
              <w:tc>
                <w:tcPr>
                  <w:tcW w:w="2175" w:type="dxa"/>
                </w:tcPr>
                <w:p w:rsidR="00DE2FD1" w:rsidRPr="00096A88" w:rsidRDefault="00096A88" w:rsidP="00096A88">
                  <w:pPr>
                    <w:widowControl/>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2018.4</w:t>
                  </w:r>
                </w:p>
              </w:tc>
            </w:tr>
            <w:tr w:rsidR="00DE2FD1" w:rsidTr="00C42E22">
              <w:tc>
                <w:tcPr>
                  <w:tcW w:w="2174" w:type="dxa"/>
                </w:tcPr>
                <w:p w:rsidR="00DE2FD1"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lastRenderedPageBreak/>
                    <w:t>Relay Selection for Multi-Channel Cooperative Multicast:  Lexicographic Max-Min Optimization</w:t>
                  </w:r>
                </w:p>
              </w:tc>
              <w:tc>
                <w:tcPr>
                  <w:tcW w:w="2174" w:type="dxa"/>
                </w:tcPr>
                <w:p w:rsidR="00096A88"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i/>
                      <w:iCs/>
                      <w:color w:val="000000" w:themeColor="text1"/>
                      <w:szCs w:val="21"/>
                      <w:shd w:val="clear" w:color="auto" w:fill="FFFFFF"/>
                    </w:rPr>
                    <w:t>IEEE Transactions on Communications</w:t>
                  </w:r>
                </w:p>
                <w:p w:rsidR="00DE2FD1" w:rsidRPr="00096A88" w:rsidRDefault="00DE2FD1" w:rsidP="00DE2FD1">
                  <w:pPr>
                    <w:rPr>
                      <w:rFonts w:eastAsiaTheme="majorEastAsia" w:cstheme="minorHAnsi"/>
                      <w:color w:val="000000" w:themeColor="text1"/>
                      <w:szCs w:val="21"/>
                      <w:shd w:val="clear" w:color="auto" w:fill="FFFFFF"/>
                    </w:rPr>
                  </w:pPr>
                </w:p>
              </w:tc>
              <w:tc>
                <w:tcPr>
                  <w:tcW w:w="2174" w:type="dxa"/>
                </w:tcPr>
                <w:p w:rsidR="00DE2FD1" w:rsidRPr="00096A88" w:rsidRDefault="00096A88" w:rsidP="00DE2FD1">
                  <w:pPr>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rPr>
                    <w:t>5.69</w:t>
                  </w:r>
                </w:p>
              </w:tc>
              <w:tc>
                <w:tcPr>
                  <w:tcW w:w="2175" w:type="dxa"/>
                </w:tcPr>
                <w:p w:rsidR="00DE2FD1" w:rsidRPr="00096A88" w:rsidRDefault="00096A88" w:rsidP="00DE2FD1">
                  <w:pPr>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2018.3</w:t>
                  </w:r>
                </w:p>
              </w:tc>
            </w:tr>
            <w:tr w:rsidR="00096A88" w:rsidTr="00C42E22">
              <w:tc>
                <w:tcPr>
                  <w:tcW w:w="2174" w:type="dxa"/>
                </w:tcPr>
                <w:p w:rsidR="00096A88"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Delay-Aware Uplink Fronthaul Allocation in Cloud Radio Access Networks</w:t>
                  </w:r>
                </w:p>
              </w:tc>
              <w:tc>
                <w:tcPr>
                  <w:tcW w:w="2174" w:type="dxa"/>
                </w:tcPr>
                <w:p w:rsidR="00096A88"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i/>
                      <w:iCs/>
                      <w:color w:val="000000" w:themeColor="text1"/>
                      <w:szCs w:val="21"/>
                      <w:shd w:val="clear" w:color="auto" w:fill="FFFFFF"/>
                    </w:rPr>
                    <w:t>IEEE Transactions on Wireless Communications</w:t>
                  </w:r>
                </w:p>
              </w:tc>
              <w:tc>
                <w:tcPr>
                  <w:tcW w:w="2174" w:type="dxa"/>
                </w:tcPr>
                <w:p w:rsidR="00096A88"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rPr>
                    <w:t>6.394</w:t>
                  </w:r>
                </w:p>
              </w:tc>
              <w:tc>
                <w:tcPr>
                  <w:tcW w:w="2175" w:type="dxa"/>
                </w:tcPr>
                <w:p w:rsidR="00096A88" w:rsidRPr="00096A88" w:rsidRDefault="00096A88" w:rsidP="00096A88">
                  <w:pPr>
                    <w:widowControl/>
                    <w:jc w:val="left"/>
                    <w:rPr>
                      <w:rFonts w:eastAsiaTheme="majorEastAsia" w:cstheme="minorHAnsi"/>
                      <w:color w:val="000000" w:themeColor="text1"/>
                      <w:szCs w:val="21"/>
                      <w:shd w:val="clear" w:color="auto" w:fill="FFFFFF"/>
                    </w:rPr>
                  </w:pPr>
                  <w:r w:rsidRPr="00096A88">
                    <w:rPr>
                      <w:rFonts w:eastAsiaTheme="majorEastAsia" w:cstheme="minorHAnsi"/>
                      <w:color w:val="000000" w:themeColor="text1"/>
                      <w:szCs w:val="21"/>
                      <w:shd w:val="clear" w:color="auto" w:fill="FFFFFF"/>
                    </w:rPr>
                    <w:t>2017.7</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Pr>
                <w:rFonts w:hint="eastAsia"/>
              </w:rPr>
              <w:t>项，中国</w:t>
            </w:r>
            <w:r>
              <w:t>发明专利</w:t>
            </w:r>
            <w:r w:rsidRPr="00850AD4">
              <w:rPr>
                <w:rFonts w:hint="eastAsia"/>
                <w:u w:val="single"/>
              </w:rPr>
              <w:t xml:space="preserve">  </w:t>
            </w:r>
            <w:r w:rsidR="00464638">
              <w:rPr>
                <w:u w:val="single"/>
              </w:rPr>
              <w:t xml:space="preserve">2 </w:t>
            </w:r>
            <w:r w:rsidRPr="00850AD4">
              <w:rPr>
                <w:rFonts w:hint="eastAsia"/>
                <w:u w:val="single"/>
              </w:rPr>
              <w:t xml:space="preserve"> </w:t>
            </w:r>
            <w:r>
              <w:rPr>
                <w:rFonts w:hint="eastAsia"/>
              </w:rPr>
              <w:t>项，其中</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Pr>
                <w:rFonts w:hint="eastAsia"/>
              </w:rPr>
              <w:t>项，国家标准</w:t>
            </w:r>
            <w:r w:rsidRPr="00850AD4">
              <w:rPr>
                <w:rFonts w:hint="eastAsia"/>
                <w:u w:val="single"/>
              </w:rPr>
              <w:t xml:space="preserve">      </w:t>
            </w:r>
            <w:r>
              <w:rPr>
                <w:rFonts w:hint="eastAsia"/>
              </w:rPr>
              <w:t>项，行业标准</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近三年主要在研项目（列不超过</w:t>
            </w:r>
            <w:r>
              <w:t>5</w:t>
            </w:r>
            <w:r>
              <w:t>项）</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C42E22">
              <w:tc>
                <w:tcPr>
                  <w:tcW w:w="2174" w:type="dxa"/>
                </w:tcPr>
                <w:p w:rsidR="00DE2FD1" w:rsidRDefault="006C3AEC" w:rsidP="00DE2FD1">
                  <w:pPr>
                    <w:jc w:val="left"/>
                  </w:pPr>
                  <w:r w:rsidRPr="00B20685">
                    <w:rPr>
                      <w:rFonts w:ascii="Times New Roman" w:hAnsi="Times New Roman" w:cs="Times New Roman"/>
                    </w:rPr>
                    <w:t>面向智能工厂的低时延智能引擎技术研发及应用验证</w:t>
                  </w:r>
                </w:p>
              </w:tc>
              <w:tc>
                <w:tcPr>
                  <w:tcW w:w="2174" w:type="dxa"/>
                </w:tcPr>
                <w:p w:rsidR="00DE2FD1" w:rsidRDefault="006C3AEC" w:rsidP="00DE2FD1">
                  <w:pPr>
                    <w:jc w:val="left"/>
                  </w:pPr>
                  <w:r w:rsidRPr="00B20685">
                    <w:rPr>
                      <w:rFonts w:ascii="Times New Roman" w:hAnsi="Times New Roman" w:cs="Times New Roman"/>
                    </w:rPr>
                    <w:t>宁波市重大专项</w:t>
                  </w:r>
                </w:p>
              </w:tc>
              <w:tc>
                <w:tcPr>
                  <w:tcW w:w="2174" w:type="dxa"/>
                </w:tcPr>
                <w:p w:rsidR="00DE2FD1" w:rsidRDefault="006C3AEC" w:rsidP="00DE2FD1">
                  <w:pPr>
                    <w:jc w:val="left"/>
                  </w:pPr>
                  <w:r w:rsidRPr="00B20685">
                    <w:rPr>
                      <w:rFonts w:ascii="Times New Roman" w:hAnsi="Times New Roman" w:cs="Times New Roman"/>
                    </w:rPr>
                    <w:t>2019/01</w:t>
                  </w:r>
                  <w:r>
                    <w:rPr>
                      <w:rFonts w:ascii="Times New Roman" w:hAnsi="Times New Roman" w:cs="Times New Roman" w:hint="eastAsia"/>
                    </w:rPr>
                    <w:t>至</w:t>
                  </w:r>
                  <w:r w:rsidRPr="00B20685">
                    <w:rPr>
                      <w:rFonts w:ascii="Times New Roman" w:hAnsi="Times New Roman" w:cs="Times New Roman"/>
                    </w:rPr>
                    <w:t>2021/12</w:t>
                  </w:r>
                </w:p>
              </w:tc>
              <w:tc>
                <w:tcPr>
                  <w:tcW w:w="2175" w:type="dxa"/>
                </w:tcPr>
                <w:p w:rsidR="00DE2FD1" w:rsidRDefault="006C3AEC" w:rsidP="00DE2FD1">
                  <w:pPr>
                    <w:jc w:val="left"/>
                  </w:pPr>
                  <w:r w:rsidRPr="00B20685">
                    <w:rPr>
                      <w:rFonts w:ascii="Times New Roman" w:hAnsi="Times New Roman" w:cs="Times New Roman"/>
                    </w:rPr>
                    <w:t>1000</w:t>
                  </w:r>
                  <w:r w:rsidRPr="00B20685">
                    <w:rPr>
                      <w:rFonts w:ascii="Times New Roman" w:hAnsi="Times New Roman" w:cs="Times New Roman"/>
                    </w:rPr>
                    <w:t>万</w:t>
                  </w:r>
                </w:p>
              </w:tc>
            </w:tr>
            <w:tr w:rsidR="00DE2FD1" w:rsidTr="00C42E22">
              <w:tc>
                <w:tcPr>
                  <w:tcW w:w="2174" w:type="dxa"/>
                </w:tcPr>
                <w:p w:rsidR="00DE2FD1" w:rsidRDefault="006C3AEC" w:rsidP="00DE2FD1">
                  <w:pPr>
                    <w:jc w:val="left"/>
                  </w:pPr>
                  <w:r w:rsidRPr="00B20685">
                    <w:rPr>
                      <w:rFonts w:ascii="Times New Roman" w:hAnsi="Times New Roman" w:cs="Times New Roman"/>
                    </w:rPr>
                    <w:t>大维随机接入理论与技术</w:t>
                  </w:r>
                </w:p>
              </w:tc>
              <w:tc>
                <w:tcPr>
                  <w:tcW w:w="2174" w:type="dxa"/>
                </w:tcPr>
                <w:p w:rsidR="00DE2FD1" w:rsidRDefault="006C3AEC" w:rsidP="00DE2FD1">
                  <w:pPr>
                    <w:jc w:val="left"/>
                  </w:pPr>
                  <w:r w:rsidRPr="00B20685">
                    <w:rPr>
                      <w:rFonts w:ascii="Times New Roman" w:hAnsi="Times New Roman" w:cs="Times New Roman"/>
                    </w:rPr>
                    <w:t>国家重点研发计划课题</w:t>
                  </w:r>
                </w:p>
              </w:tc>
              <w:tc>
                <w:tcPr>
                  <w:tcW w:w="2174" w:type="dxa"/>
                </w:tcPr>
                <w:p w:rsidR="00DE2FD1" w:rsidRDefault="006C3AEC" w:rsidP="00DE2FD1">
                  <w:pPr>
                    <w:jc w:val="left"/>
                  </w:pPr>
                  <w:r w:rsidRPr="00B20685">
                    <w:rPr>
                      <w:rFonts w:ascii="Times New Roman" w:hAnsi="Times New Roman" w:cs="Times New Roman"/>
                    </w:rPr>
                    <w:t>2019/07</w:t>
                  </w:r>
                  <w:r>
                    <w:rPr>
                      <w:rFonts w:ascii="Times New Roman" w:hAnsi="Times New Roman" w:cs="Times New Roman" w:hint="eastAsia"/>
                    </w:rPr>
                    <w:t>至</w:t>
                  </w:r>
                  <w:r w:rsidRPr="00B20685">
                    <w:rPr>
                      <w:rFonts w:ascii="Times New Roman" w:hAnsi="Times New Roman" w:cs="Times New Roman"/>
                    </w:rPr>
                    <w:t>2023/06</w:t>
                  </w:r>
                </w:p>
              </w:tc>
              <w:tc>
                <w:tcPr>
                  <w:tcW w:w="2175" w:type="dxa"/>
                </w:tcPr>
                <w:p w:rsidR="00DE2FD1" w:rsidRDefault="006C3AEC" w:rsidP="00DE2FD1">
                  <w:pPr>
                    <w:jc w:val="left"/>
                  </w:pPr>
                  <w:r w:rsidRPr="00B20685">
                    <w:rPr>
                      <w:rFonts w:ascii="Times New Roman" w:hAnsi="Times New Roman" w:cs="Times New Roman"/>
                    </w:rPr>
                    <w:t>707</w:t>
                  </w:r>
                  <w:r w:rsidRPr="00B20685">
                    <w:rPr>
                      <w:rFonts w:ascii="Times New Roman" w:hAnsi="Times New Roman" w:cs="Times New Roman"/>
                    </w:rPr>
                    <w:t>万元</w:t>
                  </w:r>
                </w:p>
              </w:tc>
            </w:tr>
            <w:tr w:rsidR="00DE2FD1" w:rsidTr="00C42E22">
              <w:tc>
                <w:tcPr>
                  <w:tcW w:w="2174" w:type="dxa"/>
                </w:tcPr>
                <w:p w:rsidR="00DE2FD1" w:rsidRDefault="006C3AEC" w:rsidP="00DE2FD1">
                  <w:pPr>
                    <w:jc w:val="left"/>
                  </w:pPr>
                  <w:r w:rsidRPr="00B20685">
                    <w:rPr>
                      <w:rFonts w:ascii="Times New Roman" w:hAnsi="Times New Roman" w:cs="Times New Roman"/>
                    </w:rPr>
                    <w:t>无线网络中基于业务和环境感知的资源和能量跨层优化</w:t>
                  </w:r>
                </w:p>
              </w:tc>
              <w:tc>
                <w:tcPr>
                  <w:tcW w:w="2174" w:type="dxa"/>
                </w:tcPr>
                <w:p w:rsidR="00DE2FD1" w:rsidRDefault="006C3AEC" w:rsidP="00DE2FD1">
                  <w:pPr>
                    <w:jc w:val="left"/>
                  </w:pPr>
                  <w:r w:rsidRPr="00B20685">
                    <w:rPr>
                      <w:rFonts w:ascii="Times New Roman" w:hAnsi="Times New Roman" w:cs="Times New Roman"/>
                    </w:rPr>
                    <w:t>浙江省杰出青年科学基金</w:t>
                  </w:r>
                </w:p>
              </w:tc>
              <w:tc>
                <w:tcPr>
                  <w:tcW w:w="2174" w:type="dxa"/>
                </w:tcPr>
                <w:p w:rsidR="00DE2FD1" w:rsidRDefault="006C3AEC" w:rsidP="00DE2FD1">
                  <w:pPr>
                    <w:jc w:val="left"/>
                  </w:pPr>
                  <w:r w:rsidRPr="00B20685">
                    <w:rPr>
                      <w:rFonts w:ascii="Times New Roman" w:hAnsi="Times New Roman" w:cs="Times New Roman"/>
                    </w:rPr>
                    <w:t>2017/01</w:t>
                  </w:r>
                  <w:r>
                    <w:rPr>
                      <w:rFonts w:ascii="Times New Roman" w:hAnsi="Times New Roman" w:cs="Times New Roman" w:hint="eastAsia"/>
                    </w:rPr>
                    <w:t>至</w:t>
                  </w:r>
                  <w:r w:rsidRPr="00B20685">
                    <w:rPr>
                      <w:rFonts w:ascii="Times New Roman" w:hAnsi="Times New Roman" w:cs="Times New Roman"/>
                    </w:rPr>
                    <w:t>2020/12</w:t>
                  </w:r>
                </w:p>
              </w:tc>
              <w:tc>
                <w:tcPr>
                  <w:tcW w:w="2175" w:type="dxa"/>
                </w:tcPr>
                <w:p w:rsidR="00DE2FD1" w:rsidRDefault="006C3AEC" w:rsidP="00DE2FD1">
                  <w:pPr>
                    <w:jc w:val="left"/>
                  </w:pPr>
                  <w:r w:rsidRPr="00B20685">
                    <w:rPr>
                      <w:rFonts w:ascii="Times New Roman" w:hAnsi="Times New Roman" w:cs="Times New Roman"/>
                    </w:rPr>
                    <w:t>50</w:t>
                  </w:r>
                  <w:r w:rsidRPr="00B20685">
                    <w:rPr>
                      <w:rFonts w:ascii="Times New Roman" w:hAnsi="Times New Roman" w:cs="Times New Roman"/>
                    </w:rPr>
                    <w:t>万</w:t>
                  </w:r>
                </w:p>
              </w:tc>
            </w:tr>
            <w:tr w:rsidR="00DE2FD1" w:rsidTr="00C42E22">
              <w:tc>
                <w:tcPr>
                  <w:tcW w:w="2174" w:type="dxa"/>
                </w:tcPr>
                <w:p w:rsidR="00DE2FD1" w:rsidRDefault="006C3AEC" w:rsidP="006C3AEC">
                  <w:pPr>
                    <w:jc w:val="left"/>
                  </w:pPr>
                  <w:r w:rsidRPr="00B20685">
                    <w:rPr>
                      <w:rFonts w:ascii="Times New Roman" w:hAnsi="Times New Roman" w:cs="Times New Roman"/>
                    </w:rPr>
                    <w:t>感知、通信、计算协同融合</w:t>
                  </w:r>
                </w:p>
              </w:tc>
              <w:tc>
                <w:tcPr>
                  <w:tcW w:w="2174" w:type="dxa"/>
                </w:tcPr>
                <w:p w:rsidR="00DE2FD1" w:rsidRDefault="006C3AEC" w:rsidP="00DE2FD1">
                  <w:pPr>
                    <w:jc w:val="left"/>
                  </w:pPr>
                  <w:r w:rsidRPr="00B20685">
                    <w:rPr>
                      <w:rFonts w:ascii="Times New Roman" w:hAnsi="Times New Roman" w:cs="Times New Roman"/>
                    </w:rPr>
                    <w:t>华为公司委托研发项目</w:t>
                  </w:r>
                </w:p>
              </w:tc>
              <w:tc>
                <w:tcPr>
                  <w:tcW w:w="2174" w:type="dxa"/>
                </w:tcPr>
                <w:p w:rsidR="00DE2FD1" w:rsidRDefault="006C3AEC" w:rsidP="00DE2FD1">
                  <w:pPr>
                    <w:jc w:val="left"/>
                  </w:pPr>
                  <w:r w:rsidRPr="00B20685">
                    <w:rPr>
                      <w:rFonts w:ascii="Times New Roman" w:hAnsi="Times New Roman" w:cs="Times New Roman"/>
                    </w:rPr>
                    <w:t>2019/01</w:t>
                  </w:r>
                  <w:r>
                    <w:rPr>
                      <w:rFonts w:ascii="Times New Roman" w:hAnsi="Times New Roman" w:cs="Times New Roman" w:hint="eastAsia"/>
                    </w:rPr>
                    <w:t>至</w:t>
                  </w:r>
                  <w:r w:rsidRPr="00B20685">
                    <w:rPr>
                      <w:rFonts w:ascii="Times New Roman" w:hAnsi="Times New Roman" w:cs="Times New Roman"/>
                    </w:rPr>
                    <w:t>2020/12</w:t>
                  </w:r>
                </w:p>
              </w:tc>
              <w:tc>
                <w:tcPr>
                  <w:tcW w:w="2175" w:type="dxa"/>
                </w:tcPr>
                <w:p w:rsidR="00DE2FD1" w:rsidRDefault="006C3AEC" w:rsidP="00DE2FD1">
                  <w:pPr>
                    <w:jc w:val="left"/>
                  </w:pPr>
                  <w:r>
                    <w:rPr>
                      <w:rFonts w:hint="eastAsia"/>
                    </w:rPr>
                    <w:t>6</w:t>
                  </w:r>
                  <w:r>
                    <w:t>0</w:t>
                  </w:r>
                  <w:r>
                    <w:rPr>
                      <w:rFonts w:hint="eastAsia"/>
                    </w:rPr>
                    <w:t>万</w:t>
                  </w:r>
                </w:p>
              </w:tc>
            </w:tr>
            <w:tr w:rsidR="00DE2FD1" w:rsidTr="00C42E22">
              <w:tc>
                <w:tcPr>
                  <w:tcW w:w="2174" w:type="dxa"/>
                </w:tcPr>
                <w:p w:rsidR="00DE2FD1" w:rsidRDefault="006C3AEC" w:rsidP="00DE2FD1">
                  <w:pPr>
                    <w:jc w:val="left"/>
                  </w:pPr>
                  <w:r w:rsidRPr="00B20685">
                    <w:rPr>
                      <w:rFonts w:ascii="Times New Roman" w:hAnsi="Times New Roman" w:cs="Times New Roman"/>
                    </w:rPr>
                    <w:t>中国科协青年人才托举工程</w:t>
                  </w:r>
                </w:p>
              </w:tc>
              <w:tc>
                <w:tcPr>
                  <w:tcW w:w="2174" w:type="dxa"/>
                </w:tcPr>
                <w:p w:rsidR="00DE2FD1" w:rsidRPr="006C3AEC" w:rsidRDefault="006C3AEC" w:rsidP="00DE2FD1">
                  <w:pPr>
                    <w:jc w:val="left"/>
                    <w:rPr>
                      <w:rFonts w:hint="eastAsia"/>
                    </w:rPr>
                  </w:pPr>
                  <w:r w:rsidRPr="00B20685">
                    <w:rPr>
                      <w:rFonts w:ascii="Times New Roman" w:hAnsi="Times New Roman" w:cs="Times New Roman"/>
                    </w:rPr>
                    <w:t>中国科协青年人才托举工程</w:t>
                  </w:r>
                </w:p>
              </w:tc>
              <w:tc>
                <w:tcPr>
                  <w:tcW w:w="2174" w:type="dxa"/>
                </w:tcPr>
                <w:p w:rsidR="00DE2FD1" w:rsidRDefault="006C3AEC" w:rsidP="00DE2FD1">
                  <w:pPr>
                    <w:jc w:val="left"/>
                  </w:pPr>
                  <w:r w:rsidRPr="00B20685">
                    <w:rPr>
                      <w:rFonts w:ascii="Times New Roman" w:hAnsi="Times New Roman" w:cs="Times New Roman"/>
                    </w:rPr>
                    <w:t>2017/01</w:t>
                  </w:r>
                  <w:r>
                    <w:rPr>
                      <w:rFonts w:ascii="Times New Roman" w:hAnsi="Times New Roman" w:cs="Times New Roman" w:hint="eastAsia"/>
                    </w:rPr>
                    <w:t>至</w:t>
                  </w:r>
                  <w:r w:rsidRPr="00B20685">
                    <w:rPr>
                      <w:rFonts w:ascii="Times New Roman" w:hAnsi="Times New Roman" w:cs="Times New Roman"/>
                    </w:rPr>
                    <w:t>2019/12</w:t>
                  </w:r>
                </w:p>
              </w:tc>
              <w:tc>
                <w:tcPr>
                  <w:tcW w:w="2175" w:type="dxa"/>
                </w:tcPr>
                <w:p w:rsidR="00DE2FD1" w:rsidRDefault="006C3AEC" w:rsidP="00DE2FD1">
                  <w:pPr>
                    <w:jc w:val="left"/>
                  </w:pPr>
                  <w:r>
                    <w:rPr>
                      <w:rFonts w:hint="eastAsia"/>
                    </w:rPr>
                    <w:t>4</w:t>
                  </w:r>
                  <w:r>
                    <w:t>5</w:t>
                  </w:r>
                  <w:r>
                    <w:rPr>
                      <w:rFonts w:hint="eastAsia"/>
                    </w:rPr>
                    <w:t>万</w:t>
                  </w:r>
                </w:p>
              </w:tc>
            </w:tr>
          </w:tbl>
          <w:p w:rsidR="00DE2FD1" w:rsidRDefault="00DE2FD1" w:rsidP="00DE2FD1"/>
          <w:p w:rsidR="00DE2FD1" w:rsidRDefault="00DE2FD1" w:rsidP="00FD646C">
            <w:r>
              <w:rPr>
                <w:rFonts w:hint="eastAsia"/>
              </w:rPr>
              <w:t>其他突出科研业绩</w:t>
            </w:r>
          </w:p>
          <w:p w:rsidR="00DE2FD1" w:rsidRDefault="00DE2FD1" w:rsidP="00FD646C"/>
          <w:p w:rsidR="00DE2FD1" w:rsidRDefault="00DE2FD1" w:rsidP="00FD646C"/>
          <w:p w:rsidR="00DE2FD1" w:rsidRDefault="00DE2FD1" w:rsidP="00FD646C"/>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DE2FD1" w:rsidRPr="002D6DEC" w:rsidRDefault="007F7A02" w:rsidP="00DE2FD1">
                  <w:pPr>
                    <w:jc w:val="left"/>
                    <w:rPr>
                      <w:rFonts w:cstheme="minorHAnsi"/>
                      <w:color w:val="000000" w:themeColor="text1"/>
                      <w:szCs w:val="21"/>
                      <w:shd w:val="clear" w:color="auto" w:fill="FFFFFF"/>
                    </w:rPr>
                  </w:pPr>
                  <w:r w:rsidRPr="002D6DEC">
                    <w:rPr>
                      <w:rFonts w:cstheme="minorHAnsi"/>
                      <w:color w:val="000000" w:themeColor="text1"/>
                      <w:szCs w:val="21"/>
                      <w:shd w:val="clear" w:color="auto" w:fill="FFFFFF"/>
                    </w:rPr>
                    <w:t>孟宪令</w:t>
                  </w:r>
                </w:p>
              </w:tc>
              <w:tc>
                <w:tcPr>
                  <w:tcW w:w="2977" w:type="dxa"/>
                </w:tcPr>
                <w:p w:rsidR="00DE2FD1" w:rsidRPr="002D6DEC" w:rsidRDefault="002D6DEC" w:rsidP="002D6DEC">
                  <w:pPr>
                    <w:widowControl/>
                    <w:jc w:val="left"/>
                    <w:rPr>
                      <w:rFonts w:cstheme="minorHAnsi"/>
                      <w:color w:val="000000" w:themeColor="text1"/>
                      <w:szCs w:val="21"/>
                      <w:shd w:val="clear" w:color="auto" w:fill="FFFFFF"/>
                    </w:rPr>
                  </w:pPr>
                  <w:r w:rsidRPr="002D6DEC">
                    <w:rPr>
                      <w:rFonts w:cstheme="minorHAnsi"/>
                      <w:color w:val="000000" w:themeColor="text1"/>
                      <w:szCs w:val="21"/>
                      <w:shd w:val="clear" w:color="auto" w:fill="FFFFFF"/>
                    </w:rPr>
                    <w:t>“</w:t>
                  </w:r>
                  <w:r w:rsidRPr="002D6DEC">
                    <w:rPr>
                      <w:rFonts w:cstheme="minorHAnsi"/>
                      <w:color w:val="000000" w:themeColor="text1"/>
                      <w:szCs w:val="21"/>
                      <w:shd w:val="clear" w:color="auto" w:fill="FFFFFF"/>
                    </w:rPr>
                    <w:t>Delay-Constrained Hybrid Computation Offloading with Cloud and Fog Computing,</w:t>
                  </w:r>
                  <w:r w:rsidRPr="002D6DEC">
                    <w:rPr>
                      <w:rFonts w:cstheme="minorHAnsi"/>
                      <w:color w:val="000000" w:themeColor="text1"/>
                      <w:szCs w:val="21"/>
                      <w:shd w:val="clear" w:color="auto" w:fill="FFFFFF"/>
                    </w:rPr>
                    <w:t xml:space="preserve">” </w:t>
                  </w:r>
                  <w:r w:rsidRPr="002D6DEC">
                    <w:rPr>
                      <w:rFonts w:cstheme="minorHAnsi"/>
                      <w:i/>
                      <w:iCs/>
                      <w:color w:val="000000" w:themeColor="text1"/>
                      <w:szCs w:val="21"/>
                      <w:shd w:val="clear" w:color="auto" w:fill="FFFFFF"/>
                    </w:rPr>
                    <w:t>IEEE Access</w:t>
                  </w:r>
                </w:p>
              </w:tc>
              <w:tc>
                <w:tcPr>
                  <w:tcW w:w="2268" w:type="dxa"/>
                </w:tcPr>
                <w:p w:rsidR="00DE2FD1" w:rsidRPr="002D6DEC" w:rsidRDefault="007F7A02" w:rsidP="00DE2FD1">
                  <w:pPr>
                    <w:jc w:val="left"/>
                    <w:rPr>
                      <w:rFonts w:cstheme="minorHAnsi"/>
                      <w:color w:val="000000" w:themeColor="text1"/>
                      <w:szCs w:val="21"/>
                      <w:shd w:val="clear" w:color="auto" w:fill="FFFFFF"/>
                    </w:rPr>
                  </w:pPr>
                  <w:r w:rsidRPr="002D6DEC">
                    <w:rPr>
                      <w:rFonts w:cstheme="minorHAnsi"/>
                      <w:color w:val="000000" w:themeColor="text1"/>
                      <w:szCs w:val="21"/>
                      <w:shd w:val="clear" w:color="auto" w:fill="FFFFFF"/>
                    </w:rPr>
                    <w:t>2017.</w:t>
                  </w:r>
                  <w:r w:rsidR="00096A88" w:rsidRPr="002D6DEC">
                    <w:rPr>
                      <w:rFonts w:cstheme="minorHAnsi"/>
                      <w:color w:val="000000" w:themeColor="text1"/>
                      <w:szCs w:val="21"/>
                      <w:shd w:val="clear" w:color="auto" w:fill="FFFFFF"/>
                    </w:rPr>
                    <w:t>9</w:t>
                  </w:r>
                </w:p>
              </w:tc>
              <w:tc>
                <w:tcPr>
                  <w:tcW w:w="1869" w:type="dxa"/>
                </w:tcPr>
                <w:p w:rsidR="00DE2FD1" w:rsidRPr="002D6DEC" w:rsidRDefault="00096A88" w:rsidP="00DE2FD1">
                  <w:pPr>
                    <w:jc w:val="left"/>
                    <w:rPr>
                      <w:rFonts w:cstheme="minorHAnsi"/>
                      <w:color w:val="000000" w:themeColor="text1"/>
                      <w:szCs w:val="21"/>
                      <w:shd w:val="clear" w:color="auto" w:fill="FFFFFF"/>
                    </w:rPr>
                  </w:pPr>
                  <w:r w:rsidRPr="002D6DEC">
                    <w:rPr>
                      <w:rFonts w:cstheme="minorHAnsi"/>
                      <w:color w:val="000000" w:themeColor="text1"/>
                      <w:szCs w:val="21"/>
                      <w:shd w:val="clear" w:color="auto" w:fill="FFFFFF"/>
                    </w:rPr>
                    <w:t>1</w:t>
                  </w: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bl>
          <w:p w:rsidR="00DE2FD1" w:rsidRDefault="00DE2FD1" w:rsidP="00FD646C"/>
          <w:p w:rsidR="00DE2FD1" w:rsidRDefault="00DE2FD1" w:rsidP="00FD646C">
            <w:r>
              <w:t>近三年指导本科生的其它业绩</w:t>
            </w:r>
          </w:p>
          <w:p w:rsidR="00DE2FD1" w:rsidRDefault="00DE2FD1" w:rsidP="00FD646C"/>
          <w:p w:rsidR="005F5D7C" w:rsidRPr="005F5D7C" w:rsidRDefault="005F5D7C" w:rsidP="00FD646C"/>
        </w:tc>
      </w:tr>
      <w:tr w:rsidR="00141D7B" w:rsidTr="00FD646C">
        <w:trPr>
          <w:trHeight w:val="1407"/>
        </w:trPr>
        <w:tc>
          <w:tcPr>
            <w:tcW w:w="8928" w:type="dxa"/>
            <w:gridSpan w:val="7"/>
          </w:tcPr>
          <w:p w:rsidR="00141D7B" w:rsidRDefault="005F5D7C" w:rsidP="00FD646C">
            <w:r>
              <w:rPr>
                <w:rFonts w:hint="eastAsia"/>
              </w:rPr>
              <w:lastRenderedPageBreak/>
              <w:t>对指导学生的要求：</w:t>
            </w:r>
          </w:p>
          <w:p w:rsidR="008838C6" w:rsidRPr="006C3AEC" w:rsidRDefault="008838C6" w:rsidP="006C3AEC">
            <w:r w:rsidRPr="006C3AEC">
              <w:t>1</w:t>
            </w:r>
            <w:r w:rsidRPr="006C3AEC">
              <w:t>）有强烈的科研兴趣和本科期间发表论文或申请专利的愿望</w:t>
            </w:r>
          </w:p>
          <w:p w:rsidR="008838C6" w:rsidRPr="006C3AEC" w:rsidRDefault="008838C6" w:rsidP="006C3AEC">
            <w:r w:rsidRPr="006C3AEC">
              <w:t>2</w:t>
            </w:r>
            <w:r w:rsidRPr="006C3AEC">
              <w:t>）对基本课程学有余力并能在研究上付出较多时间和精力</w:t>
            </w:r>
          </w:p>
          <w:p w:rsidR="008838C6" w:rsidRPr="006C3AEC" w:rsidRDefault="008838C6" w:rsidP="006C3AEC">
            <w:r w:rsidRPr="006C3AEC">
              <w:t>3</w:t>
            </w:r>
            <w:r w:rsidRPr="006C3AEC">
              <w:t>）计划未来在无线通信与网络领域继续深造</w:t>
            </w:r>
          </w:p>
          <w:p w:rsidR="008838C6" w:rsidRPr="006C3AEC" w:rsidRDefault="008838C6" w:rsidP="006C3AEC">
            <w:pPr>
              <w:rPr>
                <w:rFonts w:hint="eastAsia"/>
              </w:rPr>
            </w:pPr>
            <w:r w:rsidRPr="006C3AEC">
              <w:t>4</w:t>
            </w:r>
            <w:r w:rsidRPr="006C3AEC">
              <w:rPr>
                <w:rFonts w:hint="eastAsia"/>
              </w:rPr>
              <w:t>）</w:t>
            </w:r>
            <w:r w:rsidRPr="006C3AEC">
              <w:t>具有一定的数学功底和较好的学习能力</w:t>
            </w:r>
          </w:p>
          <w:p w:rsidR="008838C6" w:rsidRPr="008838C6" w:rsidRDefault="008838C6" w:rsidP="00FD646C">
            <w:pPr>
              <w:rPr>
                <w:rFonts w:hint="eastAsia"/>
              </w:rPr>
            </w:pP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B1539" w:rsidRDefault="008B1539" w:rsidP="00850AD4">
      <w:r>
        <w:separator/>
      </w:r>
    </w:p>
  </w:endnote>
  <w:endnote w:type="continuationSeparator" w:id="0">
    <w:p w:rsidR="008B1539" w:rsidRDefault="008B1539"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B1539" w:rsidRDefault="008B1539" w:rsidP="00850AD4">
      <w:r>
        <w:separator/>
      </w:r>
    </w:p>
  </w:footnote>
  <w:footnote w:type="continuationSeparator" w:id="0">
    <w:p w:rsidR="008B1539" w:rsidRDefault="008B1539" w:rsidP="00850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287788"/>
    <w:multiLevelType w:val="hybridMultilevel"/>
    <w:tmpl w:val="FDE8367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D7B"/>
    <w:rsid w:val="00015EBF"/>
    <w:rsid w:val="00096A88"/>
    <w:rsid w:val="00141D7B"/>
    <w:rsid w:val="001E2C96"/>
    <w:rsid w:val="002D6DEC"/>
    <w:rsid w:val="00372D4C"/>
    <w:rsid w:val="00464638"/>
    <w:rsid w:val="005F5D7C"/>
    <w:rsid w:val="00660A7C"/>
    <w:rsid w:val="0068642E"/>
    <w:rsid w:val="006C3AEC"/>
    <w:rsid w:val="006E27E0"/>
    <w:rsid w:val="007F7A02"/>
    <w:rsid w:val="00850AD4"/>
    <w:rsid w:val="008838C6"/>
    <w:rsid w:val="008B1539"/>
    <w:rsid w:val="00991735"/>
    <w:rsid w:val="009E24D4"/>
    <w:rsid w:val="00CF0953"/>
    <w:rsid w:val="00DE2FD1"/>
    <w:rsid w:val="00DE4995"/>
    <w:rsid w:val="00F049D4"/>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45BD0"/>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50AD4"/>
    <w:rPr>
      <w:sz w:val="18"/>
      <w:szCs w:val="18"/>
    </w:rPr>
  </w:style>
  <w:style w:type="paragraph" w:styleId="a6">
    <w:name w:val="footer"/>
    <w:basedOn w:val="a"/>
    <w:link w:val="a7"/>
    <w:uiPriority w:val="99"/>
    <w:unhideWhenUsed/>
    <w:rsid w:val="00850AD4"/>
    <w:pPr>
      <w:tabs>
        <w:tab w:val="center" w:pos="4153"/>
        <w:tab w:val="right" w:pos="8306"/>
      </w:tabs>
      <w:snapToGrid w:val="0"/>
      <w:jc w:val="left"/>
    </w:pPr>
    <w:rPr>
      <w:sz w:val="18"/>
      <w:szCs w:val="18"/>
    </w:rPr>
  </w:style>
  <w:style w:type="character" w:customStyle="1" w:styleId="a7">
    <w:name w:val="页脚 字符"/>
    <w:basedOn w:val="a0"/>
    <w:link w:val="a6"/>
    <w:uiPriority w:val="99"/>
    <w:rsid w:val="00850AD4"/>
    <w:rPr>
      <w:sz w:val="18"/>
      <w:szCs w:val="18"/>
    </w:rPr>
  </w:style>
  <w:style w:type="paragraph" w:styleId="a8">
    <w:name w:val="Normal (Web)"/>
    <w:basedOn w:val="a"/>
    <w:uiPriority w:val="99"/>
    <w:unhideWhenUsed/>
    <w:rsid w:val="00464638"/>
    <w:pPr>
      <w:widowControl/>
      <w:spacing w:before="100" w:beforeAutospacing="1" w:after="100" w:afterAutospacing="1"/>
      <w:jc w:val="left"/>
    </w:pPr>
    <w:rPr>
      <w:rFonts w:ascii="宋体" w:eastAsia="宋体" w:hAnsi="宋体" w:cs="宋体"/>
      <w:kern w:val="0"/>
      <w:sz w:val="24"/>
      <w:szCs w:val="24"/>
    </w:rPr>
  </w:style>
  <w:style w:type="paragraph" w:styleId="a9">
    <w:name w:val="List Paragraph"/>
    <w:basedOn w:val="a"/>
    <w:uiPriority w:val="34"/>
    <w:qFormat/>
    <w:rsid w:val="00464638"/>
    <w:pPr>
      <w:widowControl/>
      <w:spacing w:before="100" w:beforeAutospacing="1" w:after="100" w:afterAutospacing="1"/>
      <w:jc w:val="left"/>
    </w:pPr>
    <w:rPr>
      <w:rFonts w:ascii="Times New Roman" w:hAnsi="Times New Roman" w:cs="Times New Roman"/>
      <w:kern w:val="0"/>
      <w:sz w:val="24"/>
      <w:szCs w:val="24"/>
    </w:rPr>
  </w:style>
  <w:style w:type="character" w:styleId="aa">
    <w:name w:val="Emphasis"/>
    <w:basedOn w:val="a0"/>
    <w:uiPriority w:val="20"/>
    <w:qFormat/>
    <w:rsid w:val="00096A88"/>
    <w:rPr>
      <w:i/>
      <w:iCs/>
    </w:rPr>
  </w:style>
  <w:style w:type="character" w:customStyle="1" w:styleId="apple-converted-space">
    <w:name w:val="apple-converted-space"/>
    <w:basedOn w:val="a0"/>
    <w:rsid w:val="002D6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7718">
      <w:bodyDiv w:val="1"/>
      <w:marLeft w:val="0"/>
      <w:marRight w:val="0"/>
      <w:marTop w:val="0"/>
      <w:marBottom w:val="0"/>
      <w:divBdr>
        <w:top w:val="none" w:sz="0" w:space="0" w:color="auto"/>
        <w:left w:val="none" w:sz="0" w:space="0" w:color="auto"/>
        <w:bottom w:val="none" w:sz="0" w:space="0" w:color="auto"/>
        <w:right w:val="none" w:sz="0" w:space="0" w:color="auto"/>
      </w:divBdr>
    </w:div>
    <w:div w:id="768353668">
      <w:bodyDiv w:val="1"/>
      <w:marLeft w:val="0"/>
      <w:marRight w:val="0"/>
      <w:marTop w:val="0"/>
      <w:marBottom w:val="0"/>
      <w:divBdr>
        <w:top w:val="none" w:sz="0" w:space="0" w:color="auto"/>
        <w:left w:val="none" w:sz="0" w:space="0" w:color="auto"/>
        <w:bottom w:val="none" w:sz="0" w:space="0" w:color="auto"/>
        <w:right w:val="none" w:sz="0" w:space="0" w:color="auto"/>
      </w:divBdr>
    </w:div>
    <w:div w:id="810250593">
      <w:bodyDiv w:val="1"/>
      <w:marLeft w:val="0"/>
      <w:marRight w:val="0"/>
      <w:marTop w:val="0"/>
      <w:marBottom w:val="0"/>
      <w:divBdr>
        <w:top w:val="none" w:sz="0" w:space="0" w:color="auto"/>
        <w:left w:val="none" w:sz="0" w:space="0" w:color="auto"/>
        <w:bottom w:val="none" w:sz="0" w:space="0" w:color="auto"/>
        <w:right w:val="none" w:sz="0" w:space="0" w:color="auto"/>
      </w:divBdr>
    </w:div>
    <w:div w:id="1473861197">
      <w:bodyDiv w:val="1"/>
      <w:marLeft w:val="0"/>
      <w:marRight w:val="0"/>
      <w:marTop w:val="0"/>
      <w:marBottom w:val="0"/>
      <w:divBdr>
        <w:top w:val="none" w:sz="0" w:space="0" w:color="auto"/>
        <w:left w:val="none" w:sz="0" w:space="0" w:color="auto"/>
        <w:bottom w:val="none" w:sz="0" w:space="0" w:color="auto"/>
        <w:right w:val="none" w:sz="0" w:space="0" w:color="auto"/>
      </w:divBdr>
    </w:div>
    <w:div w:id="1571767994">
      <w:bodyDiv w:val="1"/>
      <w:marLeft w:val="0"/>
      <w:marRight w:val="0"/>
      <w:marTop w:val="0"/>
      <w:marBottom w:val="0"/>
      <w:divBdr>
        <w:top w:val="none" w:sz="0" w:space="0" w:color="auto"/>
        <w:left w:val="none" w:sz="0" w:space="0" w:color="auto"/>
        <w:bottom w:val="none" w:sz="0" w:space="0" w:color="auto"/>
        <w:right w:val="none" w:sz="0" w:space="0" w:color="auto"/>
      </w:divBdr>
    </w:div>
    <w:div w:id="1600067057">
      <w:bodyDiv w:val="1"/>
      <w:marLeft w:val="0"/>
      <w:marRight w:val="0"/>
      <w:marTop w:val="0"/>
      <w:marBottom w:val="0"/>
      <w:divBdr>
        <w:top w:val="none" w:sz="0" w:space="0" w:color="auto"/>
        <w:left w:val="none" w:sz="0" w:space="0" w:color="auto"/>
        <w:bottom w:val="none" w:sz="0" w:space="0" w:color="auto"/>
        <w:right w:val="none" w:sz="0" w:space="0" w:color="auto"/>
      </w:divBdr>
    </w:div>
    <w:div w:id="1758743852">
      <w:bodyDiv w:val="1"/>
      <w:marLeft w:val="0"/>
      <w:marRight w:val="0"/>
      <w:marTop w:val="0"/>
      <w:marBottom w:val="0"/>
      <w:divBdr>
        <w:top w:val="none" w:sz="0" w:space="0" w:color="auto"/>
        <w:left w:val="none" w:sz="0" w:space="0" w:color="auto"/>
        <w:bottom w:val="none" w:sz="0" w:space="0" w:color="auto"/>
        <w:right w:val="none" w:sz="0" w:space="0" w:color="auto"/>
      </w:divBdr>
    </w:div>
    <w:div w:id="1877964480">
      <w:bodyDiv w:val="1"/>
      <w:marLeft w:val="0"/>
      <w:marRight w:val="0"/>
      <w:marTop w:val="0"/>
      <w:marBottom w:val="0"/>
      <w:divBdr>
        <w:top w:val="none" w:sz="0" w:space="0" w:color="auto"/>
        <w:left w:val="none" w:sz="0" w:space="0" w:color="auto"/>
        <w:bottom w:val="none" w:sz="0" w:space="0" w:color="auto"/>
        <w:right w:val="none" w:sz="0" w:space="0" w:color="auto"/>
      </w:divBdr>
    </w:div>
    <w:div w:id="1974552507">
      <w:bodyDiv w:val="1"/>
      <w:marLeft w:val="0"/>
      <w:marRight w:val="0"/>
      <w:marTop w:val="0"/>
      <w:marBottom w:val="0"/>
      <w:divBdr>
        <w:top w:val="none" w:sz="0" w:space="0" w:color="auto"/>
        <w:left w:val="none" w:sz="0" w:space="0" w:color="auto"/>
        <w:bottom w:val="none" w:sz="0" w:space="0" w:color="auto"/>
        <w:right w:val="none" w:sz="0" w:space="0" w:color="auto"/>
      </w:divBdr>
    </w:div>
    <w:div w:id="204605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325</Words>
  <Characters>1855</Characters>
  <Application>Microsoft Office Word</Application>
  <DocSecurity>0</DocSecurity>
  <Lines>15</Lines>
  <Paragraphs>4</Paragraphs>
  <ScaleCrop>false</ScaleCrop>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WangWei</cp:lastModifiedBy>
  <cp:revision>13</cp:revision>
  <dcterms:created xsi:type="dcterms:W3CDTF">2019-01-03T08:12:00Z</dcterms:created>
  <dcterms:modified xsi:type="dcterms:W3CDTF">2020-05-25T06:42:00Z</dcterms:modified>
</cp:coreProperties>
</file>