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sz w:val="36"/>
          <w:szCs w:val="36"/>
        </w:rPr>
      </w:pPr>
      <w:r>
        <w:rPr>
          <w:rFonts w:hint="eastAsia"/>
          <w:b/>
          <w:sz w:val="36"/>
          <w:szCs w:val="36"/>
        </w:rPr>
        <w:t>浙江</w:t>
      </w:r>
      <w:r>
        <w:rPr>
          <w:b/>
          <w:sz w:val="36"/>
          <w:szCs w:val="36"/>
        </w:rPr>
        <w:t>富春江环保科技研究有限公司</w:t>
      </w:r>
    </w:p>
    <w:p>
      <w:pPr>
        <w:spacing w:line="440" w:lineRule="exact"/>
        <w:jc w:val="center"/>
        <w:rPr>
          <w:b/>
          <w:sz w:val="36"/>
          <w:szCs w:val="36"/>
        </w:rPr>
      </w:pPr>
      <w:r>
        <w:rPr>
          <w:rFonts w:hint="eastAsia"/>
          <w:b/>
          <w:sz w:val="36"/>
          <w:szCs w:val="36"/>
        </w:rPr>
        <w:t>浙江</w:t>
      </w:r>
      <w:r>
        <w:rPr>
          <w:b/>
          <w:sz w:val="36"/>
          <w:szCs w:val="36"/>
        </w:rPr>
        <w:t>富春江环保科技研究院</w:t>
      </w:r>
    </w:p>
    <w:p>
      <w:pPr>
        <w:spacing w:line="440" w:lineRule="exact"/>
        <w:jc w:val="left"/>
        <w:rPr>
          <w:b/>
          <w:sz w:val="28"/>
          <w:szCs w:val="28"/>
        </w:rPr>
      </w:pPr>
    </w:p>
    <w:p>
      <w:pPr>
        <w:spacing w:line="440" w:lineRule="exact"/>
        <w:jc w:val="left"/>
        <w:rPr>
          <w:b/>
          <w:sz w:val="24"/>
          <w:szCs w:val="24"/>
        </w:rPr>
      </w:pPr>
      <w:r>
        <w:rPr>
          <w:rFonts w:hint="eastAsia"/>
          <w:b/>
          <w:sz w:val="24"/>
          <w:szCs w:val="24"/>
        </w:rPr>
        <w:t>企业简介</w:t>
      </w:r>
    </w:p>
    <w:p>
      <w:pPr>
        <w:spacing w:line="440" w:lineRule="exact"/>
        <w:ind w:firstLine="480" w:firstLineChars="200"/>
        <w:jc w:val="left"/>
        <w:rPr>
          <w:bCs/>
          <w:sz w:val="24"/>
          <w:szCs w:val="24"/>
        </w:rPr>
      </w:pPr>
      <w:r>
        <w:rPr>
          <w:sz w:val="24"/>
          <w:szCs w:val="24"/>
        </w:rPr>
        <w:t>为实现发展节能环保产业的战略，推动能源清洁利用</w:t>
      </w:r>
      <w:r>
        <w:rPr>
          <w:rFonts w:hint="eastAsia"/>
          <w:sz w:val="24"/>
          <w:szCs w:val="24"/>
        </w:rPr>
        <w:t>及</w:t>
      </w:r>
      <w:r>
        <w:rPr>
          <w:sz w:val="24"/>
          <w:szCs w:val="24"/>
        </w:rPr>
        <w:t>环保技术研发，寻求新的业务发展模式</w:t>
      </w:r>
      <w:r>
        <w:rPr>
          <w:rFonts w:hint="eastAsia"/>
          <w:sz w:val="24"/>
          <w:szCs w:val="24"/>
        </w:rPr>
        <w:t>，</w:t>
      </w:r>
      <w:r>
        <w:rPr>
          <w:sz w:val="24"/>
          <w:szCs w:val="24"/>
        </w:rPr>
        <w:t>更好地抓住市场发展的机遇，</w:t>
      </w:r>
      <w:r>
        <w:rPr>
          <w:rFonts w:hint="eastAsia"/>
          <w:sz w:val="24"/>
          <w:szCs w:val="24"/>
        </w:rPr>
        <w:t>由浙江富春江环保热电股份有限公司（</w:t>
      </w:r>
      <w:r>
        <w:rPr>
          <w:sz w:val="24"/>
          <w:szCs w:val="24"/>
        </w:rPr>
        <w:t>股票代码</w:t>
      </w:r>
      <w:r>
        <w:rPr>
          <w:rFonts w:hint="eastAsia"/>
          <w:sz w:val="24"/>
          <w:szCs w:val="24"/>
        </w:rPr>
        <w:t>002479）出资与</w:t>
      </w:r>
      <w:r>
        <w:rPr>
          <w:sz w:val="24"/>
          <w:szCs w:val="24"/>
        </w:rPr>
        <w:t>浙江大学热能工程研究所</w:t>
      </w:r>
      <w:r>
        <w:rPr>
          <w:rFonts w:hint="eastAsia"/>
          <w:sz w:val="24"/>
          <w:szCs w:val="24"/>
        </w:rPr>
        <w:t>共同</w:t>
      </w:r>
      <w:r>
        <w:rPr>
          <w:sz w:val="24"/>
          <w:szCs w:val="24"/>
        </w:rPr>
        <w:t>成立</w:t>
      </w:r>
      <w:r>
        <w:rPr>
          <w:rFonts w:hint="eastAsia"/>
          <w:bCs/>
          <w:sz w:val="24"/>
          <w:szCs w:val="24"/>
        </w:rPr>
        <w:t>浙江富春江环保科技研究有限公司暨浙江富春江环保科技研究院，</w:t>
      </w:r>
      <w:r>
        <w:rPr>
          <w:rFonts w:hint="eastAsia"/>
          <w:sz w:val="24"/>
          <w:szCs w:val="24"/>
        </w:rPr>
        <w:t>由</w:t>
      </w:r>
      <w:r>
        <w:rPr>
          <w:sz w:val="24"/>
          <w:szCs w:val="24"/>
        </w:rPr>
        <w:t>浙江大学团队负责技术研发及运营管理。</w:t>
      </w:r>
      <w:r>
        <w:rPr>
          <w:rFonts w:hint="eastAsia"/>
          <w:sz w:val="24"/>
          <w:szCs w:val="24"/>
        </w:rPr>
        <w:t>（富春环保与浙大合作创办的研究</w:t>
      </w:r>
      <w:r>
        <w:rPr>
          <w:rFonts w:hint="eastAsia"/>
          <w:bCs/>
          <w:sz w:val="24"/>
          <w:szCs w:val="24"/>
        </w:rPr>
        <w:t>院，研究开发国际国内先进的、具有广阔应用前景的能源清洁利用技术、污染物减排技术、环保监测技术。）</w:t>
      </w:r>
    </w:p>
    <w:p>
      <w:pPr>
        <w:spacing w:line="440" w:lineRule="exact"/>
        <w:jc w:val="left"/>
        <w:rPr>
          <w:b/>
          <w:sz w:val="24"/>
          <w:szCs w:val="24"/>
        </w:rPr>
      </w:pPr>
      <w:r>
        <w:rPr>
          <w:rFonts w:hint="eastAsia"/>
          <w:b/>
          <w:sz w:val="24"/>
          <w:szCs w:val="24"/>
        </w:rPr>
        <w:t>市场</w:t>
      </w:r>
      <w:r>
        <w:rPr>
          <w:b/>
          <w:sz w:val="24"/>
          <w:szCs w:val="24"/>
        </w:rPr>
        <w:t>背景</w:t>
      </w:r>
    </w:p>
    <w:p>
      <w:pPr>
        <w:spacing w:line="440" w:lineRule="exact"/>
        <w:ind w:firstLine="435"/>
        <w:rPr>
          <w:sz w:val="24"/>
          <w:szCs w:val="24"/>
        </w:rPr>
      </w:pPr>
      <w:r>
        <w:rPr>
          <w:rFonts w:hint="eastAsia"/>
          <w:sz w:val="24"/>
          <w:szCs w:val="24"/>
        </w:rPr>
        <w:t>我国自2004年11月11日正式生效实施</w:t>
      </w:r>
      <w:r>
        <w:rPr>
          <w:rFonts w:ascii="Tahoma" w:hAnsi="Tahoma" w:cs="Tahoma"/>
          <w:sz w:val="24"/>
          <w:szCs w:val="24"/>
        </w:rPr>
        <w:t>《关于持久性有机污染物的斯德哥尔摩公约</w:t>
      </w:r>
      <w:r>
        <w:rPr>
          <w:rFonts w:hint="eastAsia" w:ascii="Tahoma" w:hAnsi="Tahoma" w:cs="Tahoma"/>
          <w:sz w:val="24"/>
          <w:szCs w:val="24"/>
        </w:rPr>
        <w:t>》（</w:t>
      </w:r>
      <w:r>
        <w:rPr>
          <w:rFonts w:ascii="Tahoma" w:hAnsi="Tahoma" w:cs="Tahoma"/>
          <w:sz w:val="24"/>
          <w:szCs w:val="24"/>
        </w:rPr>
        <w:t>POPs</w:t>
      </w:r>
      <w:r>
        <w:rPr>
          <w:rFonts w:hint="eastAsia" w:ascii="Tahoma" w:hAnsi="Tahoma" w:cs="Tahoma"/>
          <w:sz w:val="24"/>
          <w:szCs w:val="24"/>
        </w:rPr>
        <w:t>公约</w:t>
      </w:r>
      <w:r>
        <w:rPr>
          <w:rFonts w:ascii="Tahoma" w:hAnsi="Tahoma" w:cs="Tahoma"/>
          <w:sz w:val="24"/>
          <w:szCs w:val="24"/>
        </w:rPr>
        <w:t>）以来</w:t>
      </w:r>
      <w:r>
        <w:rPr>
          <w:rFonts w:hint="eastAsia"/>
          <w:sz w:val="24"/>
          <w:szCs w:val="24"/>
        </w:rPr>
        <w:t>，到2015年，基本控制二恶英排放增长的趋势，重点行业二恶英单位产量（处理量）排放强度削减率10%，重点行业新源二恶英排放达标率100%。2014年7月城市生活垃圾焚烧炉的二恶英排放限制由1 ng TEQ/Nm</w:t>
      </w:r>
      <w:r>
        <w:rPr>
          <w:rFonts w:hint="eastAsia"/>
          <w:sz w:val="24"/>
          <w:szCs w:val="24"/>
          <w:vertAlign w:val="superscript"/>
        </w:rPr>
        <w:t>3</w:t>
      </w:r>
      <w:r>
        <w:rPr>
          <w:rFonts w:hint="eastAsia"/>
          <w:sz w:val="24"/>
          <w:szCs w:val="24"/>
        </w:rPr>
        <w:t>提高到 0.1 ng TEQ/Nm</w:t>
      </w:r>
      <w:r>
        <w:rPr>
          <w:rFonts w:hint="eastAsia"/>
          <w:sz w:val="24"/>
          <w:szCs w:val="24"/>
          <w:vertAlign w:val="superscript"/>
        </w:rPr>
        <w:t>3</w:t>
      </w:r>
      <w:r>
        <w:rPr>
          <w:rFonts w:hint="eastAsia"/>
          <w:sz w:val="24"/>
          <w:szCs w:val="24"/>
        </w:rPr>
        <w:t>，</w:t>
      </w:r>
      <w:r>
        <w:rPr>
          <w:sz w:val="24"/>
          <w:szCs w:val="24"/>
        </w:rPr>
        <w:t>并将于</w:t>
      </w:r>
      <w:r>
        <w:rPr>
          <w:rFonts w:hint="eastAsia"/>
          <w:sz w:val="24"/>
          <w:szCs w:val="24"/>
        </w:rPr>
        <w:t>2016年1月1日</w:t>
      </w:r>
      <w:r>
        <w:rPr>
          <w:sz w:val="24"/>
          <w:szCs w:val="24"/>
        </w:rPr>
        <w:t>对所有城市生活垃圾</w:t>
      </w:r>
      <w:r>
        <w:rPr>
          <w:rFonts w:hint="eastAsia"/>
          <w:sz w:val="24"/>
          <w:szCs w:val="24"/>
        </w:rPr>
        <w:t>焚烧设施</w:t>
      </w:r>
      <w:r>
        <w:rPr>
          <w:sz w:val="24"/>
          <w:szCs w:val="24"/>
        </w:rPr>
        <w:t>实施新标准。</w:t>
      </w:r>
    </w:p>
    <w:p>
      <w:pPr>
        <w:spacing w:line="440" w:lineRule="exact"/>
        <w:ind w:firstLine="435"/>
        <w:rPr>
          <w:rFonts w:hint="eastAsia"/>
          <w:sz w:val="24"/>
          <w:szCs w:val="24"/>
        </w:rPr>
      </w:pPr>
      <w:r>
        <w:rPr>
          <w:rFonts w:hint="eastAsia"/>
          <w:sz w:val="24"/>
          <w:szCs w:val="24"/>
        </w:rPr>
        <w:t>当前对焚烧烟气中二恶英的检测均采用离线检测方法，获取检测结果的周期长达数星期甚至更久，需要经过烟气采样、样品运输、预处理、进机分析等众多复杂步骤，耗费大量人力、物力和资源消耗，且最终获得的检测结果难以实现对实际运行工况的调控指导，更无法有效指导污染物减排和提供公众准确的实时数据。产业界、社会公众对可实现焚烧烟气中二恶英在线监测功能的系统的需求非常强烈，实现二恶英在线监测的潜在社会价值巨大、经济价值可观。</w:t>
      </w:r>
    </w:p>
    <w:p>
      <w:pPr>
        <w:spacing w:line="440" w:lineRule="exact"/>
        <w:jc w:val="left"/>
        <w:rPr>
          <w:rFonts w:hint="eastAsia"/>
          <w:b/>
          <w:sz w:val="24"/>
          <w:szCs w:val="24"/>
          <w:lang w:eastAsia="zh-CN"/>
        </w:rPr>
      </w:pPr>
      <w:r>
        <w:rPr>
          <w:rFonts w:hint="eastAsia"/>
          <w:b/>
          <w:sz w:val="24"/>
          <w:szCs w:val="24"/>
          <w:lang w:eastAsia="zh-CN"/>
        </w:rPr>
        <w:t>公司概况</w:t>
      </w:r>
    </w:p>
    <w:p>
      <w:pPr>
        <w:spacing w:line="440" w:lineRule="exact"/>
        <w:ind w:firstLine="435"/>
        <w:rPr>
          <w:b/>
          <w:sz w:val="24"/>
          <w:szCs w:val="24"/>
        </w:rPr>
      </w:pPr>
      <w:r>
        <w:rPr>
          <w:rFonts w:hint="eastAsia"/>
          <w:sz w:val="24"/>
          <w:szCs w:val="24"/>
        </w:rPr>
        <w:t>公司致力于为客户提供生产环境检测的专业仪器仪表的开发和生产，以及计算机软件的技术研发和技术服务。拥有先进的实验室、测试间、生产装配间，先后引进了国际上高端精密仪器设备，如TOF-MS飞行时间质谱仪、可调谐激光器以及美国国家仪器NI的智能控制和数据采集系统等，设备精度高，居国内外同行业先进水平。目前公司已经获得授权实用新型专利4项，另有8项发明专利与4项实用新型专利正在审核当中。公司已成功将第一台样机销售给浙江大学工程师学院，并且在G20期间进行了样机产品的展示，得到社会各界的广泛好评。</w:t>
      </w:r>
    </w:p>
    <w:p>
      <w:pPr>
        <w:spacing w:line="440" w:lineRule="exact"/>
        <w:rPr>
          <w:b/>
          <w:sz w:val="24"/>
          <w:szCs w:val="24"/>
        </w:rPr>
      </w:pPr>
      <w:r>
        <w:rPr>
          <w:rFonts w:hint="eastAsia"/>
          <w:b/>
          <w:sz w:val="24"/>
          <w:szCs w:val="24"/>
        </w:rPr>
        <w:t>主要产品</w:t>
      </w:r>
    </w:p>
    <w:p>
      <w:pPr>
        <w:spacing w:line="440" w:lineRule="exact"/>
        <w:ind w:firstLine="435"/>
        <w:rPr>
          <w:sz w:val="24"/>
          <w:szCs w:val="24"/>
        </w:rPr>
      </w:pPr>
      <w:r>
        <w:rPr>
          <w:rFonts w:hint="eastAsia"/>
          <w:sz w:val="24"/>
          <w:szCs w:val="24"/>
        </w:rPr>
        <w:t>基于指示物在线检测技术的烟气中痕量二恶英在线监测系统Laser</w:t>
      </w:r>
      <w:r>
        <w:rPr>
          <w:sz w:val="24"/>
          <w:szCs w:val="24"/>
        </w:rPr>
        <w:t xml:space="preserve"> Tunable- Time Off Flight Mass Spectrometer</w:t>
      </w:r>
      <w:r>
        <w:rPr>
          <w:rFonts w:hint="eastAsia"/>
          <w:sz w:val="24"/>
          <w:szCs w:val="24"/>
        </w:rPr>
        <w:t>(LAST-TOFMS)，通过基于可调谐激光光谱结合飞行时间质谱技术在线检测烟气中的二恶英指示物（浓度范围属次痕量级别），结合指示物与二恶英之间的准确关联模型，最终获得二恶英浓度。该系统是目前国内外可用于实现焚烧烟气中痕量二恶英浓度在线监测的最先进系统。</w:t>
      </w:r>
    </w:p>
    <w:p>
      <w:pPr>
        <w:spacing w:line="440" w:lineRule="exact"/>
        <w:rPr>
          <w:sz w:val="24"/>
          <w:szCs w:val="24"/>
        </w:rPr>
      </w:pPr>
    </w:p>
    <w:p>
      <w:pPr>
        <w:spacing w:line="440" w:lineRule="exact"/>
        <w:rPr>
          <w:sz w:val="24"/>
          <w:szCs w:val="24"/>
        </w:rPr>
      </w:pPr>
    </w:p>
    <w:p>
      <w:pPr>
        <w:spacing w:line="300" w:lineRule="exact"/>
        <w:rPr>
          <w:b/>
          <w:sz w:val="24"/>
          <w:szCs w:val="24"/>
        </w:rPr>
      </w:pPr>
      <w:r>
        <w:rPr>
          <w:rFonts w:hint="eastAsia"/>
          <w:b/>
          <w:sz w:val="24"/>
          <w:szCs w:val="24"/>
        </w:rPr>
        <w:t>知识产权</w:t>
      </w:r>
    </w:p>
    <w:p>
      <w:pPr>
        <w:spacing w:line="440" w:lineRule="exact"/>
        <w:ind w:firstLine="435"/>
        <w:rPr>
          <w:sz w:val="24"/>
          <w:szCs w:val="24"/>
        </w:rPr>
      </w:pPr>
      <w:r>
        <w:rPr>
          <w:rFonts w:hint="eastAsia"/>
          <w:sz w:val="24"/>
          <w:szCs w:val="24"/>
        </w:rPr>
        <w:t>浙江富春江环保科技研究有限公司目前已获得《产学研合作框架发展计划项目》和《杭州市第一批网上技术交易成果转化项目》2项政府补助。二恶英在线检测系统、采样预处理系统、仪器内部构造、仪器外形结构等方面已申请8项发明专利，目前均审核中，8项实用新型专利，其中已授权完成4项实用新型专利。</w:t>
      </w:r>
    </w:p>
    <w:p>
      <w:pPr>
        <w:spacing w:line="440" w:lineRule="exact"/>
        <w:ind w:firstLine="435"/>
        <w:rPr>
          <w:sz w:val="24"/>
          <w:szCs w:val="24"/>
        </w:rPr>
      </w:pPr>
    </w:p>
    <w:p>
      <w:pPr>
        <w:spacing w:line="300" w:lineRule="exact"/>
        <w:rPr>
          <w:b/>
          <w:sz w:val="24"/>
          <w:szCs w:val="24"/>
        </w:rPr>
      </w:pPr>
      <w:r>
        <w:rPr>
          <w:rFonts w:hint="eastAsia"/>
          <w:b/>
          <w:sz w:val="24"/>
          <w:szCs w:val="24"/>
        </w:rPr>
        <w:t>研发团队</w:t>
      </w:r>
    </w:p>
    <w:p>
      <w:pPr>
        <w:spacing w:line="440" w:lineRule="exact"/>
        <w:ind w:firstLine="435"/>
        <w:rPr>
          <w:rFonts w:cs="宋体"/>
          <w:sz w:val="24"/>
        </w:rPr>
      </w:pPr>
      <w:r>
        <w:rPr>
          <w:rFonts w:hint="eastAsia"/>
          <w:sz w:val="24"/>
          <w:szCs w:val="24"/>
        </w:rPr>
        <w:t>人才队伍方面：浙江富春江环保科技研究有限公司已经组建了优秀的研发团队，浙江富春江环保科技研究有限公司已经组建了优秀的研发团队，公司现有人员总数</w:t>
      </w:r>
      <w:r>
        <w:rPr>
          <w:sz w:val="24"/>
          <w:szCs w:val="24"/>
        </w:rPr>
        <w:t>40</w:t>
      </w:r>
      <w:r>
        <w:rPr>
          <w:rFonts w:hint="eastAsia"/>
          <w:sz w:val="24"/>
          <w:szCs w:val="24"/>
        </w:rPr>
        <w:t>人，管理层4位成员（其中浙江大学热能工程研究所兼职教授2位），研发部17位成员，行政人事部3位成员，财务部2位，生产销售部</w:t>
      </w:r>
      <w:r>
        <w:rPr>
          <w:sz w:val="24"/>
          <w:szCs w:val="24"/>
        </w:rPr>
        <w:t>2</w:t>
      </w:r>
      <w:r>
        <w:rPr>
          <w:rFonts w:hint="eastAsia"/>
          <w:sz w:val="24"/>
          <w:szCs w:val="24"/>
        </w:rPr>
        <w:t xml:space="preserve">人，另外包含流动人员（主要来自浙江大学教授4位，在读研究生8位）12人。 </w:t>
      </w:r>
      <w:r>
        <w:rPr>
          <w:rFonts w:hint="eastAsia" w:cs="宋体"/>
          <w:sz w:val="24"/>
        </w:rPr>
        <w:t>团队成员各有所长，其专业涵盖了机械、电气、电子、计算机、仪器仪表、化学、热能等诸多领域，具备极强的研发创造能力。团队整体呈现“年轻化”与“高学历化”两大特点，平均年龄为27岁，而硕士以上学历成员的占比则超过了30%。</w:t>
      </w:r>
    </w:p>
    <w:p>
      <w:pPr>
        <w:spacing w:line="440" w:lineRule="exact"/>
        <w:ind w:firstLine="435"/>
        <w:rPr>
          <w:sz w:val="24"/>
          <w:szCs w:val="24"/>
        </w:rPr>
      </w:pPr>
      <w:r>
        <w:rPr>
          <w:rFonts w:hint="eastAsia" w:cs="宋体"/>
          <w:sz w:val="24"/>
        </w:rPr>
        <w:t>研发团队由浙江大学几位资深教授协同领导，由业内知名专家William</w:t>
      </w:r>
      <w:r>
        <w:rPr>
          <w:rFonts w:cs="宋体"/>
          <w:sz w:val="24"/>
        </w:rPr>
        <w:t xml:space="preserve"> Stevens博士出任外聘技术总监</w:t>
      </w:r>
      <w:r>
        <w:rPr>
          <w:rFonts w:hint="eastAsia" w:cs="宋体"/>
          <w:sz w:val="24"/>
        </w:rPr>
        <w:t>，同时与二恶英研究领域内的诸多国际知名学者，如比利时的Alfons</w:t>
      </w:r>
      <w:r>
        <w:rPr>
          <w:rFonts w:cs="宋体"/>
          <w:sz w:val="24"/>
        </w:rPr>
        <w:t xml:space="preserve"> Buekens教授</w:t>
      </w:r>
      <w:r>
        <w:rPr>
          <w:rFonts w:hint="eastAsia" w:cs="宋体"/>
          <w:sz w:val="24"/>
        </w:rPr>
        <w:t>，</w:t>
      </w:r>
      <w:r>
        <w:rPr>
          <w:rFonts w:cs="宋体"/>
          <w:sz w:val="24"/>
        </w:rPr>
        <w:t>荷兰的</w:t>
      </w:r>
      <w:r>
        <w:rPr>
          <w:rFonts w:hint="eastAsia" w:cs="宋体"/>
          <w:sz w:val="24"/>
        </w:rPr>
        <w:t>Kees</w:t>
      </w:r>
      <w:r>
        <w:rPr>
          <w:rFonts w:cs="宋体"/>
          <w:sz w:val="24"/>
        </w:rPr>
        <w:t xml:space="preserve"> Olie教授</w:t>
      </w:r>
      <w:r>
        <w:rPr>
          <w:rFonts w:hint="eastAsia" w:cs="宋体"/>
          <w:sz w:val="24"/>
        </w:rPr>
        <w:t>，美国环境保护署的Brian Gullett博士和Chun-wai Lee博士</w:t>
      </w:r>
      <w:r>
        <w:rPr>
          <w:rFonts w:cs="宋体"/>
          <w:sz w:val="24"/>
        </w:rPr>
        <w:t>等</w:t>
      </w:r>
      <w:r>
        <w:rPr>
          <w:rFonts w:hint="eastAsia" w:cs="宋体"/>
          <w:sz w:val="24"/>
        </w:rPr>
        <w:t>建立了良好的合作关系，国家知名专家与我单位互访交流频繁，对研发团队的培养和支撑起到很好的促进作用。</w:t>
      </w:r>
      <w:r>
        <w:rPr>
          <w:rFonts w:hint="eastAsia"/>
          <w:sz w:val="24"/>
          <w:szCs w:val="24"/>
        </w:rPr>
        <w:t>公司有信心有能力尽快研发出世界水平的检测产品推向市场!</w:t>
      </w:r>
    </w:p>
    <w:p>
      <w:pPr>
        <w:spacing w:line="440" w:lineRule="exact"/>
        <w:ind w:firstLine="435"/>
        <w:rPr>
          <w:sz w:val="24"/>
          <w:szCs w:val="24"/>
        </w:rPr>
      </w:pPr>
    </w:p>
    <w:p>
      <w:pPr>
        <w:rPr>
          <w:sz w:val="24"/>
          <w:szCs w:val="24"/>
        </w:rPr>
      </w:pPr>
      <w:r>
        <w:rPr>
          <w:rFonts w:hint="eastAsia"/>
          <w:sz w:val="24"/>
          <w:szCs w:val="24"/>
        </w:rPr>
        <w:drawing>
          <wp:inline distT="0" distB="0" distL="114300" distR="114300">
            <wp:extent cx="2466340" cy="2295525"/>
            <wp:effectExtent l="0" t="0" r="10160" b="9525"/>
            <wp:docPr id="1" name="图片 1"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4"/>
                    <pic:cNvPicPr>
                      <a:picLocks noChangeAspect="1"/>
                    </pic:cNvPicPr>
                  </pic:nvPicPr>
                  <pic:blipFill>
                    <a:blip r:embed="rId4"/>
                    <a:stretch>
                      <a:fillRect/>
                    </a:stretch>
                  </pic:blipFill>
                  <pic:spPr>
                    <a:xfrm>
                      <a:off x="0" y="0"/>
                      <a:ext cx="2466340" cy="2295525"/>
                    </a:xfrm>
                    <a:prstGeom prst="rect">
                      <a:avLst/>
                    </a:prstGeom>
                  </pic:spPr>
                </pic:pic>
              </a:graphicData>
            </a:graphic>
          </wp:inline>
        </w:drawing>
      </w:r>
      <w:r>
        <w:rPr>
          <w:rFonts w:hint="eastAsia"/>
          <w:sz w:val="24"/>
          <w:szCs w:val="24"/>
        </w:rPr>
        <w:t xml:space="preserve">  </w:t>
      </w:r>
      <w:r>
        <w:rPr>
          <w:rFonts w:hint="eastAsia"/>
          <w:sz w:val="24"/>
          <w:szCs w:val="24"/>
        </w:rPr>
        <w:drawing>
          <wp:inline distT="0" distB="0" distL="114300" distR="114300">
            <wp:extent cx="2590165" cy="2295525"/>
            <wp:effectExtent l="0" t="0" r="635" b="9525"/>
            <wp:docPr id="3" name="图片 3"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5"/>
                    <pic:cNvPicPr>
                      <a:picLocks noChangeAspect="1"/>
                    </pic:cNvPicPr>
                  </pic:nvPicPr>
                  <pic:blipFill>
                    <a:blip r:embed="rId5"/>
                    <a:stretch>
                      <a:fillRect/>
                    </a:stretch>
                  </pic:blipFill>
                  <pic:spPr>
                    <a:xfrm>
                      <a:off x="0" y="0"/>
                      <a:ext cx="2590165" cy="2295525"/>
                    </a:xfrm>
                    <a:prstGeom prst="rect">
                      <a:avLst/>
                    </a:prstGeom>
                  </pic:spPr>
                </pic:pic>
              </a:graphicData>
            </a:graphic>
          </wp:inline>
        </w:drawing>
      </w:r>
    </w:p>
    <w:p>
      <w:pPr>
        <w:spacing w:line="440" w:lineRule="exact"/>
        <w:rPr>
          <w:sz w:val="24"/>
          <w:szCs w:val="24"/>
        </w:rPr>
      </w:pPr>
      <w:r>
        <w:rPr>
          <w:rFonts w:hint="eastAsia"/>
          <w:sz w:val="24"/>
          <w:szCs w:val="24"/>
        </w:rPr>
        <w:t>2016.9 公司研发的首台仪器（型号FCTEK-100）于G20峰会期间，在浙江大学工程师学院展示</w:t>
      </w:r>
    </w:p>
    <w:p>
      <w:pPr>
        <w:rPr>
          <w:rFonts w:hint="eastAsia"/>
          <w:sz w:val="24"/>
          <w:szCs w:val="24"/>
        </w:rPr>
      </w:pPr>
      <w:r>
        <w:rPr>
          <w:rFonts w:hint="eastAsia"/>
          <w:sz w:val="24"/>
          <w:szCs w:val="24"/>
        </w:rPr>
        <w:drawing>
          <wp:inline distT="0" distB="0" distL="114300" distR="114300">
            <wp:extent cx="2639695" cy="2733675"/>
            <wp:effectExtent l="0" t="0" r="8255" b="0"/>
            <wp:docPr id="5" name="图片 5"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7"/>
                    <pic:cNvPicPr>
                      <a:picLocks noChangeAspect="1"/>
                    </pic:cNvPicPr>
                  </pic:nvPicPr>
                  <pic:blipFill>
                    <a:blip r:embed="rId6"/>
                    <a:stretch>
                      <a:fillRect/>
                    </a:stretch>
                  </pic:blipFill>
                  <pic:spPr>
                    <a:xfrm>
                      <a:off x="0" y="0"/>
                      <a:ext cx="2639695" cy="2733675"/>
                    </a:xfrm>
                    <a:prstGeom prst="rect">
                      <a:avLst/>
                    </a:prstGeom>
                  </pic:spPr>
                </pic:pic>
              </a:graphicData>
            </a:graphic>
          </wp:inline>
        </w:drawing>
      </w:r>
      <w:r>
        <w:rPr>
          <w:rFonts w:hint="eastAsia"/>
          <w:sz w:val="24"/>
          <w:szCs w:val="24"/>
        </w:rPr>
        <w:t xml:space="preserve"> </w:t>
      </w:r>
      <w:r>
        <w:rPr>
          <w:rFonts w:hint="eastAsia"/>
          <w:sz w:val="24"/>
          <w:szCs w:val="24"/>
        </w:rPr>
        <w:drawing>
          <wp:inline distT="0" distB="0" distL="114300" distR="114300">
            <wp:extent cx="2524125" cy="2806065"/>
            <wp:effectExtent l="0" t="0" r="9525" b="0"/>
            <wp:docPr id="7" name="图片 7"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8"/>
                    <pic:cNvPicPr>
                      <a:picLocks noChangeAspect="1"/>
                    </pic:cNvPicPr>
                  </pic:nvPicPr>
                  <pic:blipFill>
                    <a:blip r:embed="rId7"/>
                    <a:stretch>
                      <a:fillRect/>
                    </a:stretch>
                  </pic:blipFill>
                  <pic:spPr>
                    <a:xfrm>
                      <a:off x="0" y="0"/>
                      <a:ext cx="2524125" cy="2806065"/>
                    </a:xfrm>
                    <a:prstGeom prst="rect">
                      <a:avLst/>
                    </a:prstGeom>
                  </pic:spPr>
                </pic:pic>
              </a:graphicData>
            </a:graphic>
          </wp:inline>
        </w:drawing>
      </w:r>
    </w:p>
    <w:p>
      <w:pPr>
        <w:spacing w:line="440" w:lineRule="exact"/>
        <w:ind w:firstLine="435"/>
        <w:rPr>
          <w:sz w:val="24"/>
          <w:szCs w:val="24"/>
        </w:rPr>
      </w:pPr>
    </w:p>
    <w:p>
      <w:pPr>
        <w:spacing w:line="440" w:lineRule="exact"/>
        <w:ind w:firstLine="435"/>
        <w:rPr>
          <w:sz w:val="24"/>
          <w:szCs w:val="24"/>
        </w:rPr>
      </w:pPr>
      <w:r>
        <w:rPr>
          <w:rFonts w:hint="eastAsia"/>
          <w:sz w:val="24"/>
          <w:szCs w:val="24"/>
        </w:rPr>
        <w:t>公司网址</w:t>
      </w:r>
      <w:r>
        <w:rPr>
          <w:sz w:val="24"/>
          <w:szCs w:val="24"/>
        </w:rPr>
        <w:t>：</w:t>
      </w:r>
      <w:r>
        <w:rPr>
          <w:sz w:val="24"/>
          <w:szCs w:val="24"/>
        </w:rPr>
        <w:fldChar w:fldCharType="begin"/>
      </w:r>
      <w:r>
        <w:rPr>
          <w:sz w:val="24"/>
          <w:szCs w:val="24"/>
        </w:rPr>
        <w:instrText xml:space="preserve"> HYPERLINK "http://www.fcbeti.com" </w:instrText>
      </w:r>
      <w:r>
        <w:rPr>
          <w:sz w:val="24"/>
          <w:szCs w:val="24"/>
        </w:rPr>
        <w:fldChar w:fldCharType="separate"/>
      </w:r>
      <w:r>
        <w:rPr>
          <w:rFonts w:hint="eastAsia"/>
          <w:sz w:val="24"/>
          <w:szCs w:val="24"/>
        </w:rPr>
        <w:t>www.fcbeti.com</w:t>
      </w:r>
      <w:r>
        <w:rPr>
          <w:rFonts w:hint="eastAsia"/>
          <w:sz w:val="24"/>
          <w:szCs w:val="24"/>
        </w:rPr>
        <w:fldChar w:fldCharType="end"/>
      </w:r>
      <w:r>
        <w:rPr>
          <w:rFonts w:hint="eastAsia"/>
          <w:sz w:val="24"/>
          <w:szCs w:val="24"/>
        </w:rPr>
        <w:t xml:space="preserve">   </w:t>
      </w:r>
      <w:r>
        <w:rPr>
          <w:rFonts w:hint="eastAsia"/>
          <w:sz w:val="24"/>
          <w:szCs w:val="24"/>
        </w:rPr>
        <w:t>公司</w:t>
      </w:r>
      <w:r>
        <w:rPr>
          <w:sz w:val="24"/>
          <w:szCs w:val="24"/>
        </w:rPr>
        <w:t>邮箱：</w:t>
      </w:r>
      <w:r>
        <w:rPr>
          <w:rFonts w:hint="eastAsia"/>
          <w:sz w:val="24"/>
          <w:szCs w:val="24"/>
        </w:rPr>
        <w:t xml:space="preserve"> </w:t>
      </w:r>
      <w:r>
        <w:rPr>
          <w:sz w:val="24"/>
          <w:szCs w:val="24"/>
        </w:rPr>
        <w:t>fuchunhuanbaoyjy@163.com</w:t>
      </w:r>
    </w:p>
    <w:p>
      <w:pPr>
        <w:spacing w:line="440" w:lineRule="exact"/>
        <w:rPr>
          <w:sz w:val="24"/>
          <w:szCs w:val="24"/>
        </w:rPr>
      </w:pPr>
      <w:r>
        <w:rPr>
          <w:rFonts w:hint="eastAsia"/>
          <w:sz w:val="24"/>
          <w:szCs w:val="24"/>
        </w:rPr>
        <w:t xml:space="preserve">    公司</w:t>
      </w:r>
      <w:r>
        <w:rPr>
          <w:sz w:val="24"/>
          <w:szCs w:val="24"/>
        </w:rPr>
        <w:t>地址</w:t>
      </w:r>
      <w:r>
        <w:rPr>
          <w:rFonts w:hint="eastAsia"/>
          <w:sz w:val="24"/>
          <w:szCs w:val="24"/>
        </w:rPr>
        <w:t>：</w:t>
      </w:r>
      <w:r>
        <w:rPr>
          <w:sz w:val="24"/>
          <w:szCs w:val="24"/>
        </w:rPr>
        <w:t>浙江省杭州市富阳区江滨东大道</w:t>
      </w:r>
      <w:r>
        <w:rPr>
          <w:rFonts w:hint="eastAsia"/>
          <w:sz w:val="24"/>
          <w:szCs w:val="24"/>
        </w:rPr>
        <w:t>138号</w:t>
      </w:r>
      <w:r>
        <w:rPr>
          <w:sz w:val="24"/>
          <w:szCs w:val="24"/>
        </w:rPr>
        <w:t>行政中心</w:t>
      </w:r>
      <w:r>
        <w:rPr>
          <w:rFonts w:hint="eastAsia"/>
          <w:sz w:val="24"/>
          <w:szCs w:val="24"/>
        </w:rPr>
        <w:t>6楼</w:t>
      </w:r>
    </w:p>
    <w:p>
      <w:pPr>
        <w:spacing w:line="440" w:lineRule="exact"/>
        <w:ind w:firstLine="435"/>
        <w:rPr>
          <w:sz w:val="24"/>
          <w:szCs w:val="24"/>
        </w:rPr>
      </w:pPr>
      <w:r>
        <w:rPr>
          <w:rFonts w:hint="eastAsia"/>
          <w:sz w:val="24"/>
          <w:szCs w:val="24"/>
        </w:rPr>
        <w:t>联系人</w:t>
      </w:r>
      <w:r>
        <w:rPr>
          <w:sz w:val="24"/>
          <w:szCs w:val="24"/>
        </w:rPr>
        <w:t>：行政人事部</w:t>
      </w:r>
      <w:r>
        <w:rPr>
          <w:rFonts w:hint="eastAsia"/>
          <w:sz w:val="24"/>
          <w:szCs w:val="24"/>
        </w:rPr>
        <w:t xml:space="preserve">   刘</w:t>
      </w:r>
      <w:r>
        <w:rPr>
          <w:sz w:val="24"/>
          <w:szCs w:val="24"/>
        </w:rPr>
        <w:t>女士</w:t>
      </w:r>
    </w:p>
    <w:p>
      <w:pPr>
        <w:spacing w:line="440" w:lineRule="exact"/>
        <w:ind w:firstLine="435"/>
        <w:rPr>
          <w:sz w:val="24"/>
          <w:szCs w:val="24"/>
        </w:rPr>
      </w:pPr>
      <w:r>
        <w:rPr>
          <w:rFonts w:hint="eastAsia"/>
          <w:sz w:val="24"/>
          <w:szCs w:val="24"/>
        </w:rPr>
        <w:t>联系</w:t>
      </w:r>
      <w:r>
        <w:rPr>
          <w:sz w:val="24"/>
          <w:szCs w:val="24"/>
        </w:rPr>
        <w:t>电话：</w:t>
      </w:r>
      <w:r>
        <w:rPr>
          <w:rFonts w:hint="eastAsia"/>
          <w:sz w:val="24"/>
          <w:szCs w:val="24"/>
        </w:rPr>
        <w:t xml:space="preserve">0571-63167750 </w:t>
      </w:r>
    </w:p>
    <w:p>
      <w:pPr>
        <w:spacing w:line="440" w:lineRule="exact"/>
        <w:ind w:firstLine="435"/>
        <w:rPr>
          <w:sz w:val="24"/>
          <w:szCs w:val="24"/>
        </w:rPr>
      </w:pPr>
      <w:bookmarkStart w:id="0" w:name="_GoBack"/>
      <w:bookmarkEnd w:id="0"/>
    </w:p>
    <w:p>
      <w:pPr>
        <w:spacing w:line="440" w:lineRule="exact"/>
        <w:rPr>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永中宋体">
    <w:altName w:val="Times New Roman"/>
    <w:panose1 w:val="02010600030101010101"/>
    <w:charset w:val="01"/>
    <w:family w:val="roman"/>
    <w:pitch w:val="default"/>
    <w:sig w:usb0="00000000" w:usb1="00000000" w:usb2="00000000" w:usb3="00000000" w:csb0="000001F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egoe UI Symbol">
    <w:panose1 w:val="020B0502040204020203"/>
    <w:charset w:val="00"/>
    <w:family w:val="swiss"/>
    <w:pitch w:val="default"/>
    <w:sig w:usb0="8000006F" w:usb1="1200FBEF" w:usb2="0004C000" w:usb3="00000000" w:csb0="00000001" w:csb1="4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长城楷体">
    <w:altName w:val="黑体"/>
    <w:panose1 w:val="02010609000101010101"/>
    <w:charset w:val="86"/>
    <w:family w:val="modern"/>
    <w:pitch w:val="default"/>
    <w:sig w:usb0="00000000" w:usb1="00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EF"/>
    <w:rsid w:val="00042BC9"/>
    <w:rsid w:val="00110185"/>
    <w:rsid w:val="001B5B64"/>
    <w:rsid w:val="00255F41"/>
    <w:rsid w:val="002E3A49"/>
    <w:rsid w:val="00345086"/>
    <w:rsid w:val="00434031"/>
    <w:rsid w:val="0051579D"/>
    <w:rsid w:val="00575278"/>
    <w:rsid w:val="00603B6B"/>
    <w:rsid w:val="00644E48"/>
    <w:rsid w:val="0066494B"/>
    <w:rsid w:val="006966DE"/>
    <w:rsid w:val="006B6928"/>
    <w:rsid w:val="008818D6"/>
    <w:rsid w:val="009412EF"/>
    <w:rsid w:val="00A654BC"/>
    <w:rsid w:val="00BC2A25"/>
    <w:rsid w:val="00C622C4"/>
    <w:rsid w:val="00C71AF8"/>
    <w:rsid w:val="00C84297"/>
    <w:rsid w:val="00EE06FF"/>
    <w:rsid w:val="00F37EFA"/>
    <w:rsid w:val="00F658EA"/>
    <w:rsid w:val="018900B7"/>
    <w:rsid w:val="03A60076"/>
    <w:rsid w:val="268C4288"/>
    <w:rsid w:val="395E044F"/>
    <w:rsid w:val="3AF0033A"/>
    <w:rsid w:val="3B4C10B9"/>
    <w:rsid w:val="540D7C6D"/>
    <w:rsid w:val="5874275D"/>
    <w:rsid w:val="5A5520CF"/>
    <w:rsid w:val="641763C3"/>
    <w:rsid w:val="6D5617B7"/>
    <w:rsid w:val="73CF7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table" w:styleId="7">
    <w:name w:val="Table Grid"/>
    <w:basedOn w:val="6"/>
    <w:unhideWhenUs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qFormat/>
    <w:uiPriority w:val="99"/>
    <w:rPr>
      <w:sz w:val="18"/>
      <w:szCs w:val="18"/>
    </w:rPr>
  </w:style>
  <w:style w:type="character" w:customStyle="1" w:styleId="9">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262</Words>
  <Characters>1496</Characters>
  <Lines>12</Lines>
  <Paragraphs>3</Paragraphs>
  <TotalTime>0</TotalTime>
  <ScaleCrop>false</ScaleCrop>
  <LinksUpToDate>false</LinksUpToDate>
  <CharactersWithSpaces>1755</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2015-11-05T03:47:00Z</dcterms:created>
  <dc:creator>think</dc:creator>
  <cp:lastModifiedBy>Think</cp:lastModifiedBy>
  <cp:lastPrinted>2016-02-14T05:30:00Z</cp:lastPrinted>
  <dcterms:modified xsi:type="dcterms:W3CDTF">2017-06-22T08:19:00Z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