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C37" w:rsidRPr="00631C37" w:rsidRDefault="00631C37" w:rsidP="00631C37">
      <w:pPr>
        <w:widowControl/>
        <w:shd w:val="clear" w:color="auto" w:fill="FFFFFF"/>
        <w:snapToGrid w:val="0"/>
        <w:spacing w:line="560" w:lineRule="atLeast"/>
        <w:jc w:val="center"/>
        <w:rPr>
          <w:rFonts w:ascii="宋体" w:eastAsia="宋体" w:hAnsi="宋体" w:cs="宋体"/>
          <w:color w:val="040404"/>
          <w:kern w:val="0"/>
          <w:szCs w:val="21"/>
        </w:rPr>
      </w:pPr>
      <w:r w:rsidRPr="00631C37">
        <w:rPr>
          <w:rFonts w:ascii="仿宋_GB2312" w:eastAsia="仿宋_GB2312" w:hAnsi="宋体" w:cs="宋体" w:hint="eastAsia"/>
          <w:color w:val="000000"/>
          <w:kern w:val="0"/>
          <w:sz w:val="44"/>
          <w:szCs w:val="44"/>
        </w:rPr>
        <w:t>浙江大学科研项目间接费用管理暂行办法</w:t>
      </w:r>
    </w:p>
    <w:p w:rsidR="00631C37" w:rsidRPr="00631C37" w:rsidRDefault="00631C37" w:rsidP="00631C37">
      <w:pPr>
        <w:widowControl/>
        <w:shd w:val="clear" w:color="auto" w:fill="FFFFFF"/>
        <w:spacing w:line="540" w:lineRule="atLeast"/>
        <w:ind w:firstLine="720"/>
        <w:jc w:val="left"/>
        <w:rPr>
          <w:rFonts w:ascii="宋体" w:eastAsia="宋体" w:hAnsi="宋体" w:cs="宋体"/>
          <w:color w:val="040404"/>
          <w:kern w:val="0"/>
          <w:szCs w:val="21"/>
        </w:rPr>
      </w:pPr>
      <w:r w:rsidRPr="00631C37">
        <w:rPr>
          <w:rFonts w:ascii="仿宋_GB2312" w:eastAsia="仿宋_GB2312" w:hAnsi="宋体" w:cs="宋体" w:hint="eastAsia"/>
          <w:color w:val="040404"/>
          <w:kern w:val="0"/>
          <w:szCs w:val="21"/>
        </w:rPr>
        <w:t> </w:t>
      </w:r>
    </w:p>
    <w:p w:rsidR="00631C37" w:rsidRPr="00631C37" w:rsidRDefault="00631C37" w:rsidP="00631C37">
      <w:pPr>
        <w:widowControl/>
        <w:shd w:val="clear" w:color="auto" w:fill="FFFFFF"/>
        <w:snapToGrid w:val="0"/>
        <w:spacing w:line="600" w:lineRule="atLeast"/>
        <w:ind w:firstLine="640"/>
        <w:jc w:val="left"/>
        <w:rPr>
          <w:rFonts w:ascii="仿宋_GB2312" w:eastAsia="仿宋_GB2312" w:hAnsi="宋体" w:cs="宋体"/>
          <w:color w:val="040404"/>
          <w:kern w:val="0"/>
          <w:szCs w:val="21"/>
        </w:rPr>
      </w:pPr>
      <w:r w:rsidRPr="00631C37">
        <w:rPr>
          <w:rFonts w:ascii="仿宋_GB2312" w:eastAsia="仿宋_GB2312" w:hAnsi="宋体" w:cs="宋体" w:hint="eastAsia"/>
          <w:color w:val="040404"/>
          <w:kern w:val="0"/>
          <w:sz w:val="32"/>
          <w:szCs w:val="32"/>
        </w:rPr>
        <w:t>为进一步加强科研管理，充分调动科研人员积极性和创造性，发挥学院（系）和科研单位能动性，落实监管责任，推动学校科研事业持续健康发展，根据《国务院关于改进加强中央财政科研项目和资金管理的若干意见》（国发〔</w:t>
      </w:r>
      <w:r w:rsidRPr="00631C37">
        <w:rPr>
          <w:rFonts w:ascii="Times New Roman" w:eastAsia="仿宋_GB2312" w:hAnsi="Times New Roman" w:cs="Times New Roman"/>
          <w:color w:val="040404"/>
          <w:kern w:val="0"/>
          <w:sz w:val="32"/>
          <w:szCs w:val="32"/>
        </w:rPr>
        <w:t>2014</w:t>
      </w:r>
      <w:r w:rsidRPr="00631C37">
        <w:rPr>
          <w:rFonts w:ascii="仿宋_GB2312" w:eastAsia="仿宋_GB2312" w:hAnsi="宋体" w:cs="宋体" w:hint="eastAsia"/>
          <w:color w:val="040404"/>
          <w:kern w:val="0"/>
          <w:sz w:val="32"/>
          <w:szCs w:val="32"/>
        </w:rPr>
        <w:t>〕</w:t>
      </w:r>
      <w:r w:rsidRPr="00631C37">
        <w:rPr>
          <w:rFonts w:ascii="Times New Roman" w:eastAsia="仿宋_GB2312" w:hAnsi="Times New Roman" w:cs="Times New Roman"/>
          <w:color w:val="040404"/>
          <w:kern w:val="0"/>
          <w:sz w:val="32"/>
          <w:szCs w:val="32"/>
        </w:rPr>
        <w:t>11</w:t>
      </w:r>
      <w:r w:rsidRPr="00631C37">
        <w:rPr>
          <w:rFonts w:ascii="仿宋_GB2312" w:eastAsia="仿宋_GB2312" w:hAnsi="宋体" w:cs="宋体" w:hint="eastAsia"/>
          <w:color w:val="040404"/>
          <w:kern w:val="0"/>
          <w:sz w:val="32"/>
          <w:szCs w:val="32"/>
        </w:rPr>
        <w:t>号）精神，结合我校实际，制定本办法。</w:t>
      </w:r>
    </w:p>
    <w:p w:rsidR="00631C37" w:rsidRPr="00631C37" w:rsidRDefault="00631C37" w:rsidP="00631C37">
      <w:pPr>
        <w:widowControl/>
        <w:shd w:val="clear" w:color="auto" w:fill="FFFFFF"/>
        <w:snapToGrid w:val="0"/>
        <w:spacing w:line="600" w:lineRule="atLeast"/>
        <w:ind w:firstLine="640"/>
        <w:jc w:val="left"/>
        <w:rPr>
          <w:rFonts w:ascii="仿宋_GB2312" w:eastAsia="仿宋_GB2312" w:hAnsi="宋体" w:cs="宋体"/>
          <w:color w:val="040404"/>
          <w:kern w:val="0"/>
          <w:szCs w:val="21"/>
        </w:rPr>
      </w:pPr>
      <w:r w:rsidRPr="00631C37">
        <w:rPr>
          <w:rFonts w:ascii="黑体" w:eastAsia="黑体" w:hAnsi="黑体" w:cs="宋体" w:hint="eastAsia"/>
          <w:color w:val="040404"/>
          <w:kern w:val="0"/>
          <w:sz w:val="32"/>
          <w:szCs w:val="32"/>
        </w:rPr>
        <w:t>一、间接费用的定义</w:t>
      </w:r>
    </w:p>
    <w:p w:rsidR="00631C37" w:rsidRPr="00631C37" w:rsidRDefault="00631C37" w:rsidP="00631C37">
      <w:pPr>
        <w:widowControl/>
        <w:shd w:val="clear" w:color="auto" w:fill="FFFFFF"/>
        <w:snapToGrid w:val="0"/>
        <w:spacing w:line="600" w:lineRule="atLeast"/>
        <w:ind w:firstLine="640"/>
        <w:jc w:val="left"/>
        <w:rPr>
          <w:rFonts w:ascii="仿宋_GB2312" w:eastAsia="仿宋_GB2312" w:hAnsi="宋体" w:cs="宋体"/>
          <w:color w:val="040404"/>
          <w:kern w:val="0"/>
          <w:szCs w:val="21"/>
        </w:rPr>
      </w:pPr>
      <w:r w:rsidRPr="00631C37">
        <w:rPr>
          <w:rFonts w:ascii="仿宋_GB2312" w:eastAsia="仿宋_GB2312" w:hAnsi="宋体" w:cs="宋体" w:hint="eastAsia"/>
          <w:color w:val="040404"/>
          <w:kern w:val="0"/>
          <w:sz w:val="32"/>
          <w:szCs w:val="32"/>
        </w:rPr>
        <w:t>间接费用是指学校作为科研课题任务承担、参与单位，在组织实施课题过程中发生的无法在直接费用中列支的相关费用。主要包括学校为课题研究提供的现有仪器设备及房屋，水、电、气、暖消耗，有关管理费用的补助支出，以及绩效支出等。</w:t>
      </w:r>
    </w:p>
    <w:p w:rsidR="00631C37" w:rsidRPr="00631C37" w:rsidRDefault="00631C37" w:rsidP="00631C37">
      <w:pPr>
        <w:widowControl/>
        <w:shd w:val="clear" w:color="auto" w:fill="FFFFFF"/>
        <w:snapToGrid w:val="0"/>
        <w:spacing w:line="600" w:lineRule="atLeast"/>
        <w:ind w:firstLine="640"/>
        <w:jc w:val="left"/>
        <w:rPr>
          <w:rFonts w:ascii="仿宋_GB2312" w:eastAsia="仿宋_GB2312" w:hAnsi="宋体" w:cs="宋体"/>
          <w:color w:val="040404"/>
          <w:kern w:val="0"/>
          <w:szCs w:val="21"/>
        </w:rPr>
      </w:pPr>
      <w:r w:rsidRPr="00631C37">
        <w:rPr>
          <w:rFonts w:ascii="黑体" w:eastAsia="黑体" w:hAnsi="黑体" w:cs="宋体" w:hint="eastAsia"/>
          <w:color w:val="040404"/>
          <w:kern w:val="0"/>
          <w:sz w:val="32"/>
          <w:szCs w:val="32"/>
        </w:rPr>
        <w:t>二、间接费用管理原则</w:t>
      </w:r>
    </w:p>
    <w:p w:rsidR="00631C37" w:rsidRPr="00631C37" w:rsidRDefault="00631C37" w:rsidP="00631C37">
      <w:pPr>
        <w:widowControl/>
        <w:shd w:val="clear" w:color="auto" w:fill="FFFFFF"/>
        <w:snapToGrid w:val="0"/>
        <w:spacing w:line="600" w:lineRule="atLeast"/>
        <w:ind w:firstLine="640"/>
        <w:jc w:val="left"/>
        <w:rPr>
          <w:rFonts w:ascii="仿宋_GB2312" w:eastAsia="仿宋_GB2312" w:hAnsi="宋体" w:cs="宋体"/>
          <w:color w:val="040404"/>
          <w:kern w:val="0"/>
          <w:szCs w:val="21"/>
        </w:rPr>
      </w:pPr>
      <w:r w:rsidRPr="00631C37">
        <w:rPr>
          <w:rFonts w:ascii="楷体_GB2312" w:eastAsia="楷体_GB2312" w:hAnsi="宋体" w:cs="宋体" w:hint="eastAsia"/>
          <w:color w:val="040404"/>
          <w:kern w:val="0"/>
          <w:sz w:val="32"/>
          <w:szCs w:val="32"/>
        </w:rPr>
        <w:t>1．成本补偿原则</w:t>
      </w:r>
    </w:p>
    <w:p w:rsidR="00631C37" w:rsidRPr="00631C37" w:rsidRDefault="00631C37" w:rsidP="00631C37">
      <w:pPr>
        <w:widowControl/>
        <w:shd w:val="clear" w:color="auto" w:fill="FFFFFF"/>
        <w:snapToGrid w:val="0"/>
        <w:spacing w:line="600" w:lineRule="atLeast"/>
        <w:ind w:firstLine="640"/>
        <w:jc w:val="left"/>
        <w:rPr>
          <w:rFonts w:ascii="仿宋_GB2312" w:eastAsia="仿宋_GB2312" w:hAnsi="宋体" w:cs="宋体"/>
          <w:color w:val="040404"/>
          <w:kern w:val="0"/>
          <w:szCs w:val="21"/>
        </w:rPr>
      </w:pPr>
      <w:r w:rsidRPr="00631C37">
        <w:rPr>
          <w:rFonts w:ascii="仿宋_GB2312" w:eastAsia="仿宋_GB2312" w:hAnsi="宋体" w:cs="宋体" w:hint="eastAsia"/>
          <w:color w:val="040404"/>
          <w:kern w:val="0"/>
          <w:sz w:val="32"/>
          <w:szCs w:val="32"/>
        </w:rPr>
        <w:t>间接费用分配按照“谁使用谁付费、谁受益谁承担”的成本补偿原则。间接费用主要用于学校为科研事业发展投入的人力、物力以及其它有关管理费用的补偿；用于学院（系）、研究所为科研任务实施提供的现有仪器设备及房屋的水、电、气、暖消耗、物业管理等费用的补偿；用于项目（课题）</w:t>
      </w:r>
      <w:proofErr w:type="gramStart"/>
      <w:r w:rsidRPr="00631C37">
        <w:rPr>
          <w:rFonts w:ascii="仿宋_GB2312" w:eastAsia="仿宋_GB2312" w:hAnsi="宋体" w:cs="宋体" w:hint="eastAsia"/>
          <w:color w:val="040404"/>
          <w:kern w:val="0"/>
          <w:sz w:val="32"/>
          <w:szCs w:val="32"/>
        </w:rPr>
        <w:t>组科研</w:t>
      </w:r>
      <w:proofErr w:type="gramEnd"/>
      <w:r w:rsidRPr="00631C37">
        <w:rPr>
          <w:rFonts w:ascii="仿宋_GB2312" w:eastAsia="仿宋_GB2312" w:hAnsi="宋体" w:cs="宋体" w:hint="eastAsia"/>
          <w:color w:val="040404"/>
          <w:kern w:val="0"/>
          <w:sz w:val="32"/>
          <w:szCs w:val="32"/>
        </w:rPr>
        <w:t>用房等资源占用费用的补偿以及日常科研活动发生的相关管理性费用支出、绩效支出等。</w:t>
      </w:r>
    </w:p>
    <w:p w:rsidR="00631C37" w:rsidRPr="00631C37" w:rsidRDefault="00631C37" w:rsidP="00631C37">
      <w:pPr>
        <w:widowControl/>
        <w:shd w:val="clear" w:color="auto" w:fill="FFFFFF"/>
        <w:snapToGrid w:val="0"/>
        <w:spacing w:line="600" w:lineRule="atLeast"/>
        <w:ind w:firstLine="640"/>
        <w:jc w:val="left"/>
        <w:rPr>
          <w:rFonts w:ascii="仿宋_GB2312" w:eastAsia="仿宋_GB2312" w:hAnsi="宋体" w:cs="宋体"/>
          <w:color w:val="040404"/>
          <w:kern w:val="0"/>
          <w:szCs w:val="21"/>
        </w:rPr>
      </w:pPr>
      <w:r w:rsidRPr="00631C37">
        <w:rPr>
          <w:rFonts w:ascii="楷体_GB2312" w:eastAsia="楷体_GB2312" w:hAnsi="宋体" w:cs="宋体" w:hint="eastAsia"/>
          <w:color w:val="040404"/>
          <w:kern w:val="0"/>
          <w:sz w:val="32"/>
          <w:szCs w:val="32"/>
        </w:rPr>
        <w:t>2．激励导向原则</w:t>
      </w:r>
    </w:p>
    <w:p w:rsidR="00631C37" w:rsidRPr="00631C37" w:rsidRDefault="00631C37" w:rsidP="00631C37">
      <w:pPr>
        <w:widowControl/>
        <w:shd w:val="clear" w:color="auto" w:fill="FFFFFF"/>
        <w:snapToGrid w:val="0"/>
        <w:spacing w:line="600" w:lineRule="atLeast"/>
        <w:ind w:firstLine="640"/>
        <w:jc w:val="left"/>
        <w:rPr>
          <w:rFonts w:ascii="仿宋_GB2312" w:eastAsia="仿宋_GB2312" w:hAnsi="宋体" w:cs="宋体"/>
          <w:color w:val="040404"/>
          <w:kern w:val="0"/>
          <w:szCs w:val="21"/>
        </w:rPr>
      </w:pPr>
      <w:r w:rsidRPr="00631C37">
        <w:rPr>
          <w:rFonts w:ascii="仿宋_GB2312" w:eastAsia="仿宋_GB2312" w:hAnsi="宋体" w:cs="宋体" w:hint="eastAsia"/>
          <w:color w:val="040404"/>
          <w:kern w:val="0"/>
          <w:sz w:val="32"/>
          <w:szCs w:val="32"/>
        </w:rPr>
        <w:lastRenderedPageBreak/>
        <w:t>间接费用分配坚持激励导向原则。为更好地激发学校科研组织活力，调动一线科研人员积极性，学校结合科研业绩评价，加大对学院（系）、研究所及项目（课题）组的补偿力度，扩大项目（课题）负责人对间接费用的统筹权与自主权，做大做强学校科研总量，实现学校、学院（系）、项目（课题）</w:t>
      </w:r>
      <w:proofErr w:type="gramStart"/>
      <w:r w:rsidRPr="00631C37">
        <w:rPr>
          <w:rFonts w:ascii="仿宋_GB2312" w:eastAsia="仿宋_GB2312" w:hAnsi="宋体" w:cs="宋体" w:hint="eastAsia"/>
          <w:color w:val="040404"/>
          <w:kern w:val="0"/>
          <w:sz w:val="32"/>
          <w:szCs w:val="32"/>
        </w:rPr>
        <w:t>组利益</w:t>
      </w:r>
      <w:proofErr w:type="gramEnd"/>
      <w:r w:rsidRPr="00631C37">
        <w:rPr>
          <w:rFonts w:ascii="仿宋_GB2312" w:eastAsia="仿宋_GB2312" w:hAnsi="宋体" w:cs="宋体" w:hint="eastAsia"/>
          <w:color w:val="040404"/>
          <w:kern w:val="0"/>
          <w:sz w:val="32"/>
          <w:szCs w:val="32"/>
        </w:rPr>
        <w:t>共同发展。</w:t>
      </w:r>
    </w:p>
    <w:p w:rsidR="00631C37" w:rsidRPr="00631C37" w:rsidRDefault="00631C37" w:rsidP="00631C37">
      <w:pPr>
        <w:widowControl/>
        <w:shd w:val="clear" w:color="auto" w:fill="FFFFFF"/>
        <w:snapToGrid w:val="0"/>
        <w:spacing w:line="600" w:lineRule="atLeast"/>
        <w:ind w:firstLine="640"/>
        <w:jc w:val="left"/>
        <w:rPr>
          <w:rFonts w:ascii="仿宋_GB2312" w:eastAsia="仿宋_GB2312" w:hAnsi="宋体" w:cs="宋体"/>
          <w:color w:val="040404"/>
          <w:kern w:val="0"/>
          <w:szCs w:val="21"/>
        </w:rPr>
      </w:pPr>
      <w:r w:rsidRPr="00631C37">
        <w:rPr>
          <w:rFonts w:ascii="楷体_GB2312" w:eastAsia="楷体_GB2312" w:hAnsi="宋体" w:cs="宋体" w:hint="eastAsia"/>
          <w:color w:val="040404"/>
          <w:kern w:val="0"/>
          <w:sz w:val="32"/>
          <w:szCs w:val="32"/>
        </w:rPr>
        <w:t>3．分级管理原则</w:t>
      </w:r>
    </w:p>
    <w:p w:rsidR="00631C37" w:rsidRPr="00631C37" w:rsidRDefault="00631C37" w:rsidP="00631C37">
      <w:pPr>
        <w:widowControl/>
        <w:shd w:val="clear" w:color="auto" w:fill="FFFFFF"/>
        <w:snapToGrid w:val="0"/>
        <w:spacing w:line="600" w:lineRule="atLeast"/>
        <w:ind w:firstLine="640"/>
        <w:jc w:val="left"/>
        <w:rPr>
          <w:rFonts w:ascii="仿宋_GB2312" w:eastAsia="仿宋_GB2312" w:hAnsi="宋体" w:cs="宋体"/>
          <w:color w:val="040404"/>
          <w:kern w:val="0"/>
          <w:szCs w:val="21"/>
        </w:rPr>
      </w:pPr>
      <w:r w:rsidRPr="00631C37">
        <w:rPr>
          <w:rFonts w:ascii="仿宋_GB2312" w:eastAsia="仿宋_GB2312" w:hAnsi="宋体" w:cs="宋体" w:hint="eastAsia"/>
          <w:color w:val="040404"/>
          <w:kern w:val="0"/>
          <w:sz w:val="32"/>
          <w:szCs w:val="32"/>
        </w:rPr>
        <w:t>间接费用纳入学校财务统一核算，分级管理，统筹使用。</w:t>
      </w:r>
    </w:p>
    <w:p w:rsidR="00631C37" w:rsidRPr="00631C37" w:rsidRDefault="00631C37" w:rsidP="00631C37">
      <w:pPr>
        <w:widowControl/>
        <w:shd w:val="clear" w:color="auto" w:fill="FFFFFF"/>
        <w:snapToGrid w:val="0"/>
        <w:spacing w:line="600" w:lineRule="atLeast"/>
        <w:ind w:firstLine="640"/>
        <w:jc w:val="left"/>
        <w:rPr>
          <w:rFonts w:ascii="仿宋_GB2312" w:eastAsia="仿宋_GB2312" w:hAnsi="宋体" w:cs="宋体"/>
          <w:color w:val="040404"/>
          <w:kern w:val="0"/>
          <w:szCs w:val="21"/>
        </w:rPr>
      </w:pPr>
      <w:r w:rsidRPr="00631C37">
        <w:rPr>
          <w:rFonts w:ascii="仿宋_GB2312" w:eastAsia="仿宋_GB2312" w:hAnsi="宋体" w:cs="宋体" w:hint="eastAsia"/>
          <w:color w:val="040404"/>
          <w:kern w:val="0"/>
          <w:sz w:val="32"/>
          <w:szCs w:val="32"/>
        </w:rPr>
        <w:t>间接费用分为学校、学院（系）、研究所间接费用及项目（课题）组间接费用。其中，学校间接费用主要用于学校公共成本补偿支出及科研成果奖励等；学院（系）、研究所间接费用由学院（系）、研究所统筹管理；项目（课题）组间接费用主要用于项目（课题）组公共资源开支、团队管理费以及绩效支出等。</w:t>
      </w:r>
    </w:p>
    <w:p w:rsidR="00631C37" w:rsidRPr="00631C37" w:rsidRDefault="00631C37" w:rsidP="00631C37">
      <w:pPr>
        <w:widowControl/>
        <w:shd w:val="clear" w:color="auto" w:fill="FFFFFF"/>
        <w:snapToGrid w:val="0"/>
        <w:spacing w:line="600" w:lineRule="atLeast"/>
        <w:ind w:firstLine="640"/>
        <w:jc w:val="left"/>
        <w:rPr>
          <w:rFonts w:ascii="仿宋_GB2312" w:eastAsia="仿宋_GB2312" w:hAnsi="宋体" w:cs="宋体"/>
          <w:color w:val="040404"/>
          <w:kern w:val="0"/>
          <w:szCs w:val="21"/>
        </w:rPr>
      </w:pPr>
      <w:r w:rsidRPr="00631C37">
        <w:rPr>
          <w:rFonts w:ascii="楷体_GB2312" w:eastAsia="楷体_GB2312" w:hAnsi="宋体" w:cs="宋体" w:hint="eastAsia"/>
          <w:color w:val="040404"/>
          <w:kern w:val="0"/>
          <w:sz w:val="32"/>
          <w:szCs w:val="32"/>
        </w:rPr>
        <w:t>4．保障优先原则</w:t>
      </w:r>
    </w:p>
    <w:p w:rsidR="00631C37" w:rsidRPr="00631C37" w:rsidRDefault="00631C37" w:rsidP="00631C37">
      <w:pPr>
        <w:widowControl/>
        <w:shd w:val="clear" w:color="auto" w:fill="FFFFFF"/>
        <w:snapToGrid w:val="0"/>
        <w:spacing w:line="600" w:lineRule="atLeast"/>
        <w:ind w:firstLine="640"/>
        <w:jc w:val="left"/>
        <w:rPr>
          <w:rFonts w:ascii="仿宋_GB2312" w:eastAsia="仿宋_GB2312" w:hAnsi="宋体" w:cs="宋体"/>
          <w:color w:val="040404"/>
          <w:kern w:val="0"/>
          <w:szCs w:val="21"/>
        </w:rPr>
      </w:pPr>
      <w:r w:rsidRPr="00631C37">
        <w:rPr>
          <w:rFonts w:ascii="仿宋_GB2312" w:eastAsia="仿宋_GB2312" w:hAnsi="宋体" w:cs="宋体" w:hint="eastAsia"/>
          <w:color w:val="040404"/>
          <w:kern w:val="0"/>
          <w:sz w:val="32"/>
          <w:szCs w:val="32"/>
        </w:rPr>
        <w:t>间接费用优先保障学校科研成本补偿。学校作为承担单位承接的科研项目，如需向合作单位拨付间接费用，原则上不得超过</w:t>
      </w:r>
      <w:proofErr w:type="gramStart"/>
      <w:r w:rsidRPr="00631C37">
        <w:rPr>
          <w:rFonts w:ascii="仿宋_GB2312" w:eastAsia="仿宋_GB2312" w:hAnsi="宋体" w:cs="宋体" w:hint="eastAsia"/>
          <w:color w:val="040404"/>
          <w:kern w:val="0"/>
          <w:sz w:val="32"/>
          <w:szCs w:val="32"/>
        </w:rPr>
        <w:t>外拨合作</w:t>
      </w:r>
      <w:proofErr w:type="gramEnd"/>
      <w:r w:rsidRPr="00631C37">
        <w:rPr>
          <w:rFonts w:ascii="仿宋_GB2312" w:eastAsia="仿宋_GB2312" w:hAnsi="宋体" w:cs="宋体" w:hint="eastAsia"/>
          <w:color w:val="040404"/>
          <w:kern w:val="0"/>
          <w:sz w:val="32"/>
          <w:szCs w:val="32"/>
        </w:rPr>
        <w:t>经费占总经费的比例。学校作为合作单位参与的科研项目，负责人应在项目（课题）预算申报书（合同）中与承担单位约定间接费用分配方案，积极争取，保障学校及自身权益。如对方单位不拨付或拨付间</w:t>
      </w:r>
      <w:r w:rsidRPr="00631C37">
        <w:rPr>
          <w:rFonts w:ascii="仿宋_GB2312" w:eastAsia="仿宋_GB2312" w:hAnsi="宋体" w:cs="宋体" w:hint="eastAsia"/>
          <w:color w:val="040404"/>
          <w:kern w:val="0"/>
          <w:sz w:val="32"/>
          <w:szCs w:val="32"/>
        </w:rPr>
        <w:lastRenderedPageBreak/>
        <w:t>接费用不足，则按学校分配政策对实际到位的间接费用进行核定。</w:t>
      </w:r>
    </w:p>
    <w:p w:rsidR="00631C37" w:rsidRPr="00631C37" w:rsidRDefault="00631C37" w:rsidP="00631C37">
      <w:pPr>
        <w:widowControl/>
        <w:shd w:val="clear" w:color="auto" w:fill="FFFFFF"/>
        <w:snapToGrid w:val="0"/>
        <w:spacing w:line="600" w:lineRule="atLeast"/>
        <w:ind w:firstLine="640"/>
        <w:jc w:val="left"/>
        <w:rPr>
          <w:rFonts w:ascii="仿宋_GB2312" w:eastAsia="仿宋_GB2312" w:hAnsi="宋体" w:cs="宋体"/>
          <w:color w:val="040404"/>
          <w:kern w:val="0"/>
          <w:szCs w:val="21"/>
        </w:rPr>
      </w:pPr>
      <w:r w:rsidRPr="00631C37">
        <w:rPr>
          <w:rFonts w:ascii="仿宋_GB2312" w:eastAsia="仿宋_GB2312" w:hAnsi="宋体" w:cs="宋体" w:hint="eastAsia"/>
          <w:color w:val="040404"/>
          <w:kern w:val="0"/>
          <w:sz w:val="32"/>
          <w:szCs w:val="32"/>
        </w:rPr>
        <w:t>项目（课题）组的间接费用要优先保障学校公共资源费开支，再统筹用于科研团队管理费及绩效支出。</w:t>
      </w:r>
    </w:p>
    <w:p w:rsidR="00631C37" w:rsidRPr="00631C37" w:rsidRDefault="00631C37" w:rsidP="00631C37">
      <w:pPr>
        <w:widowControl/>
        <w:shd w:val="clear" w:color="auto" w:fill="FFFFFF"/>
        <w:snapToGrid w:val="0"/>
        <w:spacing w:line="600" w:lineRule="atLeast"/>
        <w:ind w:firstLine="600"/>
        <w:jc w:val="left"/>
        <w:rPr>
          <w:rFonts w:ascii="仿宋_GB2312" w:eastAsia="仿宋_GB2312" w:hAnsi="宋体" w:cs="宋体"/>
          <w:color w:val="040404"/>
          <w:kern w:val="0"/>
          <w:szCs w:val="21"/>
        </w:rPr>
      </w:pPr>
      <w:r w:rsidRPr="00631C37">
        <w:rPr>
          <w:rFonts w:ascii="黑体" w:eastAsia="黑体" w:hAnsi="黑体" w:cs="宋体" w:hint="eastAsia"/>
          <w:color w:val="040404"/>
          <w:kern w:val="0"/>
          <w:sz w:val="32"/>
          <w:szCs w:val="32"/>
        </w:rPr>
        <w:t>三、间接费用分配政策</w:t>
      </w:r>
    </w:p>
    <w:tbl>
      <w:tblPr>
        <w:tblW w:w="8825" w:type="dxa"/>
        <w:tblCellMar>
          <w:left w:w="0" w:type="dxa"/>
          <w:right w:w="0" w:type="dxa"/>
        </w:tblCellMar>
        <w:tblLook w:val="04A0" w:firstRow="1" w:lastRow="0" w:firstColumn="1" w:lastColumn="0" w:noHBand="0" w:noVBand="1"/>
      </w:tblPr>
      <w:tblGrid>
        <w:gridCol w:w="1286"/>
        <w:gridCol w:w="1838"/>
        <w:gridCol w:w="2446"/>
        <w:gridCol w:w="1050"/>
        <w:gridCol w:w="1365"/>
        <w:gridCol w:w="840"/>
      </w:tblGrid>
      <w:tr w:rsidR="00631C37" w:rsidRPr="00631C37" w:rsidTr="00631C37">
        <w:trPr>
          <w:trHeight w:val="891"/>
        </w:trPr>
        <w:tc>
          <w:tcPr>
            <w:tcW w:w="128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31C37" w:rsidRPr="00631C37" w:rsidRDefault="00631C37" w:rsidP="00631C37">
            <w:pPr>
              <w:widowControl/>
              <w:snapToGrid w:val="0"/>
              <w:spacing w:line="600" w:lineRule="atLeast"/>
              <w:jc w:val="center"/>
              <w:rPr>
                <w:rFonts w:ascii="宋体" w:eastAsia="宋体" w:hAnsi="宋体" w:cs="宋体"/>
                <w:kern w:val="0"/>
                <w:sz w:val="24"/>
                <w:szCs w:val="24"/>
              </w:rPr>
            </w:pPr>
            <w:r w:rsidRPr="00631C37">
              <w:rPr>
                <w:rFonts w:ascii="仿宋_GB2312" w:eastAsia="仿宋_GB2312" w:hAnsi="宋体" w:cs="宋体" w:hint="eastAsia"/>
                <w:kern w:val="0"/>
                <w:sz w:val="30"/>
                <w:szCs w:val="30"/>
              </w:rPr>
              <w:t>科目</w:t>
            </w:r>
          </w:p>
        </w:tc>
        <w:tc>
          <w:tcPr>
            <w:tcW w:w="1838" w:type="dxa"/>
            <w:tcBorders>
              <w:top w:val="single" w:sz="8" w:space="0" w:color="auto"/>
              <w:left w:val="outset" w:sz="6" w:space="0" w:color="D4D0C8"/>
              <w:bottom w:val="single" w:sz="8" w:space="0" w:color="auto"/>
              <w:right w:val="single" w:sz="8" w:space="0" w:color="auto"/>
            </w:tcBorders>
            <w:shd w:val="clear" w:color="auto" w:fill="auto"/>
            <w:vAlign w:val="center"/>
            <w:hideMark/>
          </w:tcPr>
          <w:p w:rsidR="00631C37" w:rsidRPr="00631C37" w:rsidRDefault="00631C37" w:rsidP="00631C37">
            <w:pPr>
              <w:widowControl/>
              <w:snapToGrid w:val="0"/>
              <w:spacing w:line="600" w:lineRule="atLeast"/>
              <w:jc w:val="center"/>
              <w:rPr>
                <w:rFonts w:ascii="宋体" w:eastAsia="宋体" w:hAnsi="宋体" w:cs="宋体"/>
                <w:kern w:val="0"/>
                <w:sz w:val="24"/>
                <w:szCs w:val="24"/>
              </w:rPr>
            </w:pPr>
            <w:r w:rsidRPr="00631C37">
              <w:rPr>
                <w:rFonts w:ascii="仿宋_GB2312" w:eastAsia="仿宋_GB2312" w:hAnsi="宋体" w:cs="宋体" w:hint="eastAsia"/>
                <w:kern w:val="0"/>
                <w:sz w:val="30"/>
                <w:szCs w:val="30"/>
              </w:rPr>
              <w:t>学校</w:t>
            </w:r>
          </w:p>
          <w:p w:rsidR="00631C37" w:rsidRPr="00631C37" w:rsidRDefault="00631C37" w:rsidP="00631C37">
            <w:pPr>
              <w:widowControl/>
              <w:snapToGrid w:val="0"/>
              <w:spacing w:line="600" w:lineRule="atLeast"/>
              <w:jc w:val="center"/>
              <w:rPr>
                <w:rFonts w:ascii="宋体" w:eastAsia="宋体" w:hAnsi="宋体" w:cs="宋体"/>
                <w:kern w:val="0"/>
                <w:sz w:val="24"/>
                <w:szCs w:val="24"/>
              </w:rPr>
            </w:pPr>
            <w:r w:rsidRPr="00631C37">
              <w:rPr>
                <w:rFonts w:ascii="仿宋_GB2312" w:eastAsia="仿宋_GB2312" w:hAnsi="宋体" w:cs="宋体" w:hint="eastAsia"/>
                <w:kern w:val="0"/>
                <w:sz w:val="30"/>
                <w:szCs w:val="30"/>
              </w:rPr>
              <w:t>间接费用</w:t>
            </w:r>
          </w:p>
        </w:tc>
        <w:tc>
          <w:tcPr>
            <w:tcW w:w="2446" w:type="dxa"/>
            <w:tcBorders>
              <w:top w:val="single" w:sz="8" w:space="0" w:color="auto"/>
              <w:left w:val="outset" w:sz="6" w:space="0" w:color="D4D0C8"/>
              <w:bottom w:val="single" w:sz="8" w:space="0" w:color="auto"/>
              <w:right w:val="single" w:sz="8" w:space="0" w:color="auto"/>
            </w:tcBorders>
            <w:shd w:val="clear" w:color="auto" w:fill="auto"/>
            <w:vAlign w:val="center"/>
            <w:hideMark/>
          </w:tcPr>
          <w:p w:rsidR="00631C37" w:rsidRPr="00631C37" w:rsidRDefault="00631C37" w:rsidP="00631C37">
            <w:pPr>
              <w:widowControl/>
              <w:snapToGrid w:val="0"/>
              <w:spacing w:line="600" w:lineRule="atLeast"/>
              <w:jc w:val="center"/>
              <w:rPr>
                <w:rFonts w:ascii="宋体" w:eastAsia="宋体" w:hAnsi="宋体" w:cs="宋体"/>
                <w:kern w:val="0"/>
                <w:sz w:val="24"/>
                <w:szCs w:val="24"/>
              </w:rPr>
            </w:pPr>
            <w:r w:rsidRPr="00631C37">
              <w:rPr>
                <w:rFonts w:ascii="仿宋_GB2312" w:eastAsia="仿宋_GB2312" w:hAnsi="宋体" w:cs="宋体" w:hint="eastAsia"/>
                <w:kern w:val="0"/>
                <w:sz w:val="30"/>
                <w:szCs w:val="30"/>
              </w:rPr>
              <w:t>学院（系）、研究所间接费用</w:t>
            </w:r>
          </w:p>
        </w:tc>
        <w:tc>
          <w:tcPr>
            <w:tcW w:w="3255" w:type="dxa"/>
            <w:gridSpan w:val="3"/>
            <w:tcBorders>
              <w:top w:val="single" w:sz="8" w:space="0" w:color="auto"/>
              <w:left w:val="outset" w:sz="6" w:space="0" w:color="D4D0C8"/>
              <w:bottom w:val="single" w:sz="8" w:space="0" w:color="auto"/>
              <w:right w:val="single" w:sz="8" w:space="0" w:color="auto"/>
            </w:tcBorders>
            <w:shd w:val="clear" w:color="auto" w:fill="auto"/>
            <w:vAlign w:val="center"/>
            <w:hideMark/>
          </w:tcPr>
          <w:p w:rsidR="00631C37" w:rsidRPr="00631C37" w:rsidRDefault="00631C37" w:rsidP="00631C37">
            <w:pPr>
              <w:widowControl/>
              <w:snapToGrid w:val="0"/>
              <w:spacing w:line="600" w:lineRule="atLeast"/>
              <w:jc w:val="center"/>
              <w:rPr>
                <w:rFonts w:ascii="宋体" w:eastAsia="宋体" w:hAnsi="宋体" w:cs="宋体"/>
                <w:kern w:val="0"/>
                <w:sz w:val="24"/>
                <w:szCs w:val="24"/>
              </w:rPr>
            </w:pPr>
            <w:r w:rsidRPr="00631C37">
              <w:rPr>
                <w:rFonts w:ascii="仿宋_GB2312" w:eastAsia="仿宋_GB2312" w:hAnsi="宋体" w:cs="宋体" w:hint="eastAsia"/>
                <w:kern w:val="0"/>
                <w:sz w:val="30"/>
                <w:szCs w:val="30"/>
              </w:rPr>
              <w:t>项目（课题）组</w:t>
            </w:r>
          </w:p>
          <w:p w:rsidR="00631C37" w:rsidRPr="00631C37" w:rsidRDefault="00631C37" w:rsidP="00631C37">
            <w:pPr>
              <w:widowControl/>
              <w:snapToGrid w:val="0"/>
              <w:spacing w:line="600" w:lineRule="atLeast"/>
              <w:jc w:val="center"/>
              <w:rPr>
                <w:rFonts w:ascii="宋体" w:eastAsia="宋体" w:hAnsi="宋体" w:cs="宋体"/>
                <w:kern w:val="0"/>
                <w:sz w:val="24"/>
                <w:szCs w:val="24"/>
              </w:rPr>
            </w:pPr>
            <w:r w:rsidRPr="00631C37">
              <w:rPr>
                <w:rFonts w:ascii="仿宋_GB2312" w:eastAsia="仿宋_GB2312" w:hAnsi="宋体" w:cs="宋体" w:hint="eastAsia"/>
                <w:kern w:val="0"/>
                <w:sz w:val="30"/>
                <w:szCs w:val="30"/>
              </w:rPr>
              <w:t>间接费用</w:t>
            </w:r>
          </w:p>
        </w:tc>
      </w:tr>
      <w:tr w:rsidR="00631C37" w:rsidRPr="00631C37" w:rsidTr="00631C37">
        <w:trPr>
          <w:trHeight w:val="1073"/>
        </w:trPr>
        <w:tc>
          <w:tcPr>
            <w:tcW w:w="1286" w:type="dxa"/>
            <w:tcBorders>
              <w:top w:val="outset" w:sz="6" w:space="0" w:color="D4D0C8"/>
              <w:left w:val="single" w:sz="8" w:space="0" w:color="auto"/>
              <w:bottom w:val="single" w:sz="8" w:space="0" w:color="auto"/>
              <w:right w:val="single" w:sz="8" w:space="0" w:color="auto"/>
            </w:tcBorders>
            <w:shd w:val="clear" w:color="auto" w:fill="auto"/>
            <w:vAlign w:val="center"/>
            <w:hideMark/>
          </w:tcPr>
          <w:p w:rsidR="00631C37" w:rsidRPr="00631C37" w:rsidRDefault="00631C37" w:rsidP="00631C37">
            <w:pPr>
              <w:widowControl/>
              <w:snapToGrid w:val="0"/>
              <w:spacing w:line="600" w:lineRule="atLeast"/>
              <w:jc w:val="center"/>
              <w:rPr>
                <w:rFonts w:ascii="宋体" w:eastAsia="宋体" w:hAnsi="宋体" w:cs="宋体"/>
                <w:kern w:val="0"/>
                <w:sz w:val="24"/>
                <w:szCs w:val="24"/>
              </w:rPr>
            </w:pPr>
            <w:r w:rsidRPr="00631C37">
              <w:rPr>
                <w:rFonts w:ascii="仿宋_GB2312" w:eastAsia="仿宋_GB2312" w:hAnsi="宋体" w:cs="宋体" w:hint="eastAsia"/>
                <w:kern w:val="0"/>
                <w:sz w:val="30"/>
                <w:szCs w:val="30"/>
              </w:rPr>
              <w:t>用途</w:t>
            </w:r>
          </w:p>
        </w:tc>
        <w:tc>
          <w:tcPr>
            <w:tcW w:w="1838" w:type="dxa"/>
            <w:tcBorders>
              <w:top w:val="outset" w:sz="6" w:space="0" w:color="D4D0C8"/>
              <w:left w:val="outset" w:sz="6" w:space="0" w:color="D4D0C8"/>
              <w:bottom w:val="single" w:sz="8" w:space="0" w:color="auto"/>
              <w:right w:val="single" w:sz="8" w:space="0" w:color="auto"/>
            </w:tcBorders>
            <w:shd w:val="clear" w:color="auto" w:fill="auto"/>
            <w:vAlign w:val="center"/>
            <w:hideMark/>
          </w:tcPr>
          <w:p w:rsidR="00631C37" w:rsidRPr="00631C37" w:rsidRDefault="00631C37" w:rsidP="00631C37">
            <w:pPr>
              <w:widowControl/>
              <w:snapToGrid w:val="0"/>
              <w:spacing w:line="600" w:lineRule="atLeast"/>
              <w:jc w:val="center"/>
              <w:rPr>
                <w:rFonts w:ascii="宋体" w:eastAsia="宋体" w:hAnsi="宋体" w:cs="宋体"/>
                <w:kern w:val="0"/>
                <w:sz w:val="24"/>
                <w:szCs w:val="24"/>
              </w:rPr>
            </w:pPr>
            <w:r w:rsidRPr="00631C37">
              <w:rPr>
                <w:rFonts w:ascii="仿宋_GB2312" w:eastAsia="仿宋_GB2312" w:hAnsi="宋体" w:cs="宋体" w:hint="eastAsia"/>
                <w:kern w:val="0"/>
                <w:sz w:val="30"/>
                <w:szCs w:val="30"/>
              </w:rPr>
              <w:t>学校公共成本补偿支出</w:t>
            </w:r>
          </w:p>
        </w:tc>
        <w:tc>
          <w:tcPr>
            <w:tcW w:w="2446" w:type="dxa"/>
            <w:tcBorders>
              <w:top w:val="outset" w:sz="6" w:space="0" w:color="D4D0C8"/>
              <w:left w:val="outset" w:sz="6" w:space="0" w:color="D4D0C8"/>
              <w:bottom w:val="single" w:sz="8" w:space="0" w:color="auto"/>
              <w:right w:val="single" w:sz="8" w:space="0" w:color="auto"/>
            </w:tcBorders>
            <w:shd w:val="clear" w:color="auto" w:fill="auto"/>
            <w:vAlign w:val="center"/>
            <w:hideMark/>
          </w:tcPr>
          <w:p w:rsidR="00631C37" w:rsidRPr="00631C37" w:rsidRDefault="00631C37" w:rsidP="00631C37">
            <w:pPr>
              <w:widowControl/>
              <w:snapToGrid w:val="0"/>
              <w:spacing w:line="600" w:lineRule="atLeast"/>
              <w:jc w:val="center"/>
              <w:rPr>
                <w:rFonts w:ascii="宋体" w:eastAsia="宋体" w:hAnsi="宋体" w:cs="宋体"/>
                <w:kern w:val="0"/>
                <w:sz w:val="24"/>
                <w:szCs w:val="24"/>
              </w:rPr>
            </w:pPr>
            <w:r w:rsidRPr="00631C37">
              <w:rPr>
                <w:rFonts w:ascii="仿宋_GB2312" w:eastAsia="仿宋_GB2312" w:hAnsi="宋体" w:cs="宋体" w:hint="eastAsia"/>
                <w:kern w:val="0"/>
                <w:sz w:val="30"/>
                <w:szCs w:val="30"/>
              </w:rPr>
              <w:t>学院（系）、研究所公共成本补偿支出</w:t>
            </w:r>
          </w:p>
        </w:tc>
        <w:tc>
          <w:tcPr>
            <w:tcW w:w="1050" w:type="dxa"/>
            <w:tcBorders>
              <w:top w:val="outset" w:sz="6" w:space="0" w:color="D4D0C8"/>
              <w:left w:val="outset" w:sz="6" w:space="0" w:color="D4D0C8"/>
              <w:bottom w:val="single" w:sz="8" w:space="0" w:color="auto"/>
              <w:right w:val="single" w:sz="8" w:space="0" w:color="auto"/>
            </w:tcBorders>
            <w:shd w:val="clear" w:color="auto" w:fill="auto"/>
            <w:vAlign w:val="center"/>
            <w:hideMark/>
          </w:tcPr>
          <w:p w:rsidR="00631C37" w:rsidRPr="00631C37" w:rsidRDefault="00631C37" w:rsidP="00631C37">
            <w:pPr>
              <w:widowControl/>
              <w:snapToGrid w:val="0"/>
              <w:spacing w:line="600" w:lineRule="atLeast"/>
              <w:jc w:val="center"/>
              <w:rPr>
                <w:rFonts w:ascii="宋体" w:eastAsia="宋体" w:hAnsi="宋体" w:cs="宋体"/>
                <w:kern w:val="0"/>
                <w:sz w:val="24"/>
                <w:szCs w:val="24"/>
              </w:rPr>
            </w:pPr>
            <w:r w:rsidRPr="00631C37">
              <w:rPr>
                <w:rFonts w:ascii="仿宋_GB2312" w:eastAsia="仿宋_GB2312" w:hAnsi="宋体" w:cs="宋体" w:hint="eastAsia"/>
                <w:kern w:val="0"/>
                <w:sz w:val="30"/>
                <w:szCs w:val="30"/>
              </w:rPr>
              <w:t>公共资源占用费</w:t>
            </w:r>
          </w:p>
        </w:tc>
        <w:tc>
          <w:tcPr>
            <w:tcW w:w="1365" w:type="dxa"/>
            <w:tcBorders>
              <w:top w:val="outset" w:sz="6" w:space="0" w:color="D4D0C8"/>
              <w:left w:val="outset" w:sz="6" w:space="0" w:color="D4D0C8"/>
              <w:bottom w:val="single" w:sz="8" w:space="0" w:color="auto"/>
              <w:right w:val="single" w:sz="8" w:space="0" w:color="auto"/>
            </w:tcBorders>
            <w:shd w:val="clear" w:color="auto" w:fill="auto"/>
            <w:vAlign w:val="center"/>
            <w:hideMark/>
          </w:tcPr>
          <w:p w:rsidR="00631C37" w:rsidRPr="00631C37" w:rsidRDefault="00631C37" w:rsidP="00631C37">
            <w:pPr>
              <w:widowControl/>
              <w:snapToGrid w:val="0"/>
              <w:spacing w:line="600" w:lineRule="atLeast"/>
              <w:jc w:val="center"/>
              <w:rPr>
                <w:rFonts w:ascii="宋体" w:eastAsia="宋体" w:hAnsi="宋体" w:cs="宋体"/>
                <w:kern w:val="0"/>
                <w:sz w:val="24"/>
                <w:szCs w:val="24"/>
              </w:rPr>
            </w:pPr>
            <w:r w:rsidRPr="00631C37">
              <w:rPr>
                <w:rFonts w:ascii="仿宋_GB2312" w:eastAsia="仿宋_GB2312" w:hAnsi="宋体" w:cs="宋体" w:hint="eastAsia"/>
                <w:kern w:val="0"/>
                <w:sz w:val="30"/>
                <w:szCs w:val="30"/>
              </w:rPr>
              <w:t>科研</w:t>
            </w:r>
          </w:p>
          <w:p w:rsidR="00631C37" w:rsidRPr="00631C37" w:rsidRDefault="00631C37" w:rsidP="00631C37">
            <w:pPr>
              <w:widowControl/>
              <w:snapToGrid w:val="0"/>
              <w:spacing w:line="600" w:lineRule="atLeast"/>
              <w:jc w:val="center"/>
              <w:rPr>
                <w:rFonts w:ascii="宋体" w:eastAsia="宋体" w:hAnsi="宋体" w:cs="宋体"/>
                <w:kern w:val="0"/>
                <w:sz w:val="24"/>
                <w:szCs w:val="24"/>
              </w:rPr>
            </w:pPr>
            <w:r w:rsidRPr="00631C37">
              <w:rPr>
                <w:rFonts w:ascii="仿宋_GB2312" w:eastAsia="仿宋_GB2312" w:hAnsi="宋体" w:cs="宋体" w:hint="eastAsia"/>
                <w:kern w:val="0"/>
                <w:sz w:val="30"/>
                <w:szCs w:val="30"/>
              </w:rPr>
              <w:t>团队</w:t>
            </w:r>
          </w:p>
          <w:p w:rsidR="00631C37" w:rsidRPr="00631C37" w:rsidRDefault="00631C37" w:rsidP="00631C37">
            <w:pPr>
              <w:widowControl/>
              <w:snapToGrid w:val="0"/>
              <w:spacing w:line="600" w:lineRule="atLeast"/>
              <w:jc w:val="center"/>
              <w:rPr>
                <w:rFonts w:ascii="宋体" w:eastAsia="宋体" w:hAnsi="宋体" w:cs="宋体"/>
                <w:kern w:val="0"/>
                <w:sz w:val="24"/>
                <w:szCs w:val="24"/>
              </w:rPr>
            </w:pPr>
            <w:r w:rsidRPr="00631C37">
              <w:rPr>
                <w:rFonts w:ascii="仿宋_GB2312" w:eastAsia="仿宋_GB2312" w:hAnsi="宋体" w:cs="宋体" w:hint="eastAsia"/>
                <w:kern w:val="0"/>
                <w:sz w:val="30"/>
                <w:szCs w:val="30"/>
              </w:rPr>
              <w:t>管理费</w:t>
            </w:r>
          </w:p>
        </w:tc>
        <w:tc>
          <w:tcPr>
            <w:tcW w:w="840" w:type="dxa"/>
            <w:tcBorders>
              <w:top w:val="outset" w:sz="6" w:space="0" w:color="D4D0C8"/>
              <w:left w:val="outset" w:sz="6" w:space="0" w:color="D4D0C8"/>
              <w:bottom w:val="single" w:sz="8" w:space="0" w:color="auto"/>
              <w:right w:val="single" w:sz="8" w:space="0" w:color="auto"/>
            </w:tcBorders>
            <w:shd w:val="clear" w:color="auto" w:fill="auto"/>
            <w:vAlign w:val="center"/>
            <w:hideMark/>
          </w:tcPr>
          <w:p w:rsidR="00631C37" w:rsidRPr="00631C37" w:rsidRDefault="00631C37" w:rsidP="00631C37">
            <w:pPr>
              <w:widowControl/>
              <w:snapToGrid w:val="0"/>
              <w:spacing w:line="600" w:lineRule="atLeast"/>
              <w:jc w:val="center"/>
              <w:rPr>
                <w:rFonts w:ascii="宋体" w:eastAsia="宋体" w:hAnsi="宋体" w:cs="宋体"/>
                <w:kern w:val="0"/>
                <w:sz w:val="24"/>
                <w:szCs w:val="24"/>
              </w:rPr>
            </w:pPr>
            <w:r w:rsidRPr="00631C37">
              <w:rPr>
                <w:rFonts w:ascii="仿宋_GB2312" w:eastAsia="仿宋_GB2312" w:hAnsi="宋体" w:cs="宋体" w:hint="eastAsia"/>
                <w:kern w:val="0"/>
                <w:sz w:val="30"/>
                <w:szCs w:val="30"/>
              </w:rPr>
              <w:t>绩效</w:t>
            </w:r>
          </w:p>
          <w:p w:rsidR="00631C37" w:rsidRPr="00631C37" w:rsidRDefault="00631C37" w:rsidP="00631C37">
            <w:pPr>
              <w:widowControl/>
              <w:snapToGrid w:val="0"/>
              <w:spacing w:line="600" w:lineRule="atLeast"/>
              <w:jc w:val="center"/>
              <w:rPr>
                <w:rFonts w:ascii="宋体" w:eastAsia="宋体" w:hAnsi="宋体" w:cs="宋体"/>
                <w:kern w:val="0"/>
                <w:sz w:val="24"/>
                <w:szCs w:val="24"/>
              </w:rPr>
            </w:pPr>
            <w:r w:rsidRPr="00631C37">
              <w:rPr>
                <w:rFonts w:ascii="仿宋_GB2312" w:eastAsia="仿宋_GB2312" w:hAnsi="宋体" w:cs="宋体" w:hint="eastAsia"/>
                <w:kern w:val="0"/>
                <w:sz w:val="30"/>
                <w:szCs w:val="30"/>
              </w:rPr>
              <w:t>支出</w:t>
            </w:r>
          </w:p>
        </w:tc>
      </w:tr>
      <w:tr w:rsidR="00631C37" w:rsidRPr="00631C37" w:rsidTr="00631C37">
        <w:trPr>
          <w:trHeight w:val="620"/>
        </w:trPr>
        <w:tc>
          <w:tcPr>
            <w:tcW w:w="1286" w:type="dxa"/>
            <w:tcBorders>
              <w:top w:val="outset" w:sz="6" w:space="0" w:color="D4D0C8"/>
              <w:left w:val="single" w:sz="8" w:space="0" w:color="auto"/>
              <w:bottom w:val="single" w:sz="8" w:space="0" w:color="auto"/>
              <w:right w:val="single" w:sz="8" w:space="0" w:color="auto"/>
            </w:tcBorders>
            <w:shd w:val="clear" w:color="auto" w:fill="auto"/>
            <w:vAlign w:val="center"/>
            <w:hideMark/>
          </w:tcPr>
          <w:p w:rsidR="00631C37" w:rsidRPr="00EB6445" w:rsidRDefault="00631C37" w:rsidP="00631C37">
            <w:pPr>
              <w:widowControl/>
              <w:snapToGrid w:val="0"/>
              <w:spacing w:line="600" w:lineRule="atLeast"/>
              <w:jc w:val="center"/>
              <w:rPr>
                <w:rFonts w:ascii="宋体" w:eastAsia="宋体" w:hAnsi="宋体" w:cs="宋体"/>
                <w:color w:val="2E74B5" w:themeColor="accent1" w:themeShade="BF"/>
                <w:kern w:val="0"/>
                <w:sz w:val="24"/>
                <w:szCs w:val="24"/>
              </w:rPr>
            </w:pPr>
            <w:r w:rsidRPr="00EB6445">
              <w:rPr>
                <w:rFonts w:ascii="仿宋_GB2312" w:eastAsia="仿宋_GB2312" w:hAnsi="宋体" w:cs="宋体" w:hint="eastAsia"/>
                <w:color w:val="2E74B5" w:themeColor="accent1" w:themeShade="BF"/>
                <w:kern w:val="0"/>
                <w:sz w:val="30"/>
                <w:szCs w:val="30"/>
              </w:rPr>
              <w:t>分配</w:t>
            </w:r>
          </w:p>
          <w:p w:rsidR="00631C37" w:rsidRPr="00EB6445" w:rsidRDefault="00631C37" w:rsidP="00631C37">
            <w:pPr>
              <w:widowControl/>
              <w:snapToGrid w:val="0"/>
              <w:spacing w:line="600" w:lineRule="atLeast"/>
              <w:jc w:val="center"/>
              <w:rPr>
                <w:rFonts w:ascii="宋体" w:eastAsia="宋体" w:hAnsi="宋体" w:cs="宋体"/>
                <w:color w:val="2E74B5" w:themeColor="accent1" w:themeShade="BF"/>
                <w:kern w:val="0"/>
                <w:sz w:val="24"/>
                <w:szCs w:val="24"/>
              </w:rPr>
            </w:pPr>
            <w:r w:rsidRPr="00EB6445">
              <w:rPr>
                <w:rFonts w:ascii="仿宋_GB2312" w:eastAsia="仿宋_GB2312" w:hAnsi="宋体" w:cs="宋体" w:hint="eastAsia"/>
                <w:color w:val="2E74B5" w:themeColor="accent1" w:themeShade="BF"/>
                <w:kern w:val="0"/>
                <w:sz w:val="30"/>
                <w:szCs w:val="30"/>
              </w:rPr>
              <w:t>比例</w:t>
            </w:r>
          </w:p>
        </w:tc>
        <w:tc>
          <w:tcPr>
            <w:tcW w:w="1838" w:type="dxa"/>
            <w:tcBorders>
              <w:top w:val="outset" w:sz="6" w:space="0" w:color="D4D0C8"/>
              <w:left w:val="outset" w:sz="6" w:space="0" w:color="D4D0C8"/>
              <w:bottom w:val="single" w:sz="8" w:space="0" w:color="auto"/>
              <w:right w:val="single" w:sz="8" w:space="0" w:color="auto"/>
            </w:tcBorders>
            <w:shd w:val="clear" w:color="auto" w:fill="auto"/>
            <w:vAlign w:val="center"/>
            <w:hideMark/>
          </w:tcPr>
          <w:p w:rsidR="00631C37" w:rsidRPr="00EB6445" w:rsidRDefault="00631C37" w:rsidP="00631C37">
            <w:pPr>
              <w:widowControl/>
              <w:snapToGrid w:val="0"/>
              <w:spacing w:line="600" w:lineRule="atLeast"/>
              <w:jc w:val="center"/>
              <w:rPr>
                <w:rFonts w:ascii="仿宋_GB2312" w:eastAsia="仿宋_GB2312" w:hAnsi="宋体" w:cs="宋体"/>
                <w:color w:val="2E74B5" w:themeColor="accent1" w:themeShade="BF"/>
                <w:kern w:val="0"/>
                <w:sz w:val="24"/>
                <w:szCs w:val="24"/>
              </w:rPr>
            </w:pPr>
            <w:r w:rsidRPr="00EB6445">
              <w:rPr>
                <w:rFonts w:ascii="Times New Roman" w:eastAsia="宋体" w:hAnsi="Times New Roman" w:cs="Times New Roman"/>
                <w:color w:val="2E74B5" w:themeColor="accent1" w:themeShade="BF"/>
                <w:kern w:val="0"/>
                <w:sz w:val="30"/>
                <w:szCs w:val="30"/>
              </w:rPr>
              <w:t>30%</w:t>
            </w:r>
          </w:p>
        </w:tc>
        <w:tc>
          <w:tcPr>
            <w:tcW w:w="2446" w:type="dxa"/>
            <w:tcBorders>
              <w:top w:val="outset" w:sz="6" w:space="0" w:color="D4D0C8"/>
              <w:left w:val="outset" w:sz="6" w:space="0" w:color="D4D0C8"/>
              <w:bottom w:val="single" w:sz="8" w:space="0" w:color="auto"/>
              <w:right w:val="single" w:sz="8" w:space="0" w:color="auto"/>
            </w:tcBorders>
            <w:shd w:val="clear" w:color="auto" w:fill="auto"/>
            <w:vAlign w:val="center"/>
            <w:hideMark/>
          </w:tcPr>
          <w:p w:rsidR="00631C37" w:rsidRPr="00EB6445" w:rsidRDefault="00631C37" w:rsidP="00631C37">
            <w:pPr>
              <w:widowControl/>
              <w:snapToGrid w:val="0"/>
              <w:spacing w:line="600" w:lineRule="atLeast"/>
              <w:jc w:val="center"/>
              <w:rPr>
                <w:rFonts w:ascii="仿宋_GB2312" w:eastAsia="仿宋_GB2312" w:hAnsi="宋体" w:cs="宋体"/>
                <w:color w:val="2E74B5" w:themeColor="accent1" w:themeShade="BF"/>
                <w:kern w:val="0"/>
                <w:sz w:val="24"/>
                <w:szCs w:val="24"/>
              </w:rPr>
            </w:pPr>
            <w:r w:rsidRPr="00EB6445">
              <w:rPr>
                <w:rFonts w:ascii="Times New Roman" w:eastAsia="宋体" w:hAnsi="Times New Roman" w:cs="Times New Roman"/>
                <w:color w:val="2E74B5" w:themeColor="accent1" w:themeShade="BF"/>
                <w:kern w:val="0"/>
                <w:sz w:val="30"/>
                <w:szCs w:val="30"/>
              </w:rPr>
              <w:t>25%</w:t>
            </w:r>
          </w:p>
        </w:tc>
        <w:tc>
          <w:tcPr>
            <w:tcW w:w="3255" w:type="dxa"/>
            <w:gridSpan w:val="3"/>
            <w:tcBorders>
              <w:top w:val="outset" w:sz="6" w:space="0" w:color="D4D0C8"/>
              <w:left w:val="outset" w:sz="6" w:space="0" w:color="D4D0C8"/>
              <w:bottom w:val="single" w:sz="8" w:space="0" w:color="auto"/>
              <w:right w:val="single" w:sz="8" w:space="0" w:color="auto"/>
            </w:tcBorders>
            <w:shd w:val="clear" w:color="auto" w:fill="auto"/>
            <w:vAlign w:val="center"/>
            <w:hideMark/>
          </w:tcPr>
          <w:p w:rsidR="00631C37" w:rsidRPr="00EB6445" w:rsidRDefault="00631C37" w:rsidP="00631C37">
            <w:pPr>
              <w:widowControl/>
              <w:snapToGrid w:val="0"/>
              <w:spacing w:line="600" w:lineRule="atLeast"/>
              <w:ind w:firstLine="150"/>
              <w:jc w:val="center"/>
              <w:rPr>
                <w:rFonts w:ascii="仿宋_GB2312" w:eastAsia="仿宋_GB2312" w:hAnsi="宋体" w:cs="宋体"/>
                <w:color w:val="2E74B5" w:themeColor="accent1" w:themeShade="BF"/>
                <w:kern w:val="0"/>
                <w:sz w:val="24"/>
                <w:szCs w:val="24"/>
              </w:rPr>
            </w:pPr>
            <w:r w:rsidRPr="00EB6445">
              <w:rPr>
                <w:rFonts w:ascii="Times New Roman" w:eastAsia="宋体" w:hAnsi="Times New Roman" w:cs="Times New Roman"/>
                <w:color w:val="2E74B5" w:themeColor="accent1" w:themeShade="BF"/>
                <w:kern w:val="0"/>
                <w:sz w:val="30"/>
                <w:szCs w:val="30"/>
              </w:rPr>
              <w:t>45%</w:t>
            </w:r>
          </w:p>
        </w:tc>
      </w:tr>
    </w:tbl>
    <w:p w:rsidR="00631C37" w:rsidRPr="00631C37" w:rsidRDefault="00631C37" w:rsidP="00631C37">
      <w:pPr>
        <w:widowControl/>
        <w:shd w:val="clear" w:color="auto" w:fill="FFFFFF"/>
        <w:snapToGrid w:val="0"/>
        <w:spacing w:line="600" w:lineRule="atLeast"/>
        <w:ind w:firstLine="640"/>
        <w:jc w:val="left"/>
        <w:rPr>
          <w:rFonts w:ascii="仿宋_GB2312" w:eastAsia="仿宋_GB2312" w:hAnsi="宋体" w:cs="宋体"/>
          <w:color w:val="040404"/>
          <w:kern w:val="0"/>
          <w:szCs w:val="21"/>
        </w:rPr>
      </w:pPr>
      <w:r w:rsidRPr="00631C37">
        <w:rPr>
          <w:rFonts w:ascii="仿宋_GB2312" w:eastAsia="仿宋_GB2312" w:hAnsi="宋体" w:cs="宋体" w:hint="eastAsia"/>
          <w:color w:val="040404"/>
          <w:kern w:val="0"/>
          <w:sz w:val="32"/>
          <w:szCs w:val="32"/>
        </w:rPr>
        <w:t>学校间接费用占</w:t>
      </w:r>
      <w:r w:rsidRPr="00631C37">
        <w:rPr>
          <w:rFonts w:ascii="Times New Roman" w:eastAsia="仿宋_GB2312" w:hAnsi="Times New Roman" w:cs="Times New Roman"/>
          <w:color w:val="040404"/>
          <w:kern w:val="0"/>
          <w:sz w:val="32"/>
          <w:szCs w:val="32"/>
        </w:rPr>
        <w:t>30</w:t>
      </w:r>
      <w:r w:rsidRPr="00631C37">
        <w:rPr>
          <w:rFonts w:ascii="仿宋_GB2312" w:eastAsia="仿宋_GB2312" w:hAnsi="宋体" w:cs="宋体" w:hint="eastAsia"/>
          <w:color w:val="040404"/>
          <w:kern w:val="0"/>
          <w:sz w:val="32"/>
          <w:szCs w:val="32"/>
        </w:rPr>
        <w:t>%，统筹用于包括科研业绩、科研成果奖、科研项目奖及其他有关管理费用的补偿。</w:t>
      </w:r>
    </w:p>
    <w:p w:rsidR="00631C37" w:rsidRPr="00631C37" w:rsidRDefault="00631C37" w:rsidP="00631C37">
      <w:pPr>
        <w:widowControl/>
        <w:shd w:val="clear" w:color="auto" w:fill="FFFFFF"/>
        <w:snapToGrid w:val="0"/>
        <w:spacing w:line="600" w:lineRule="atLeast"/>
        <w:ind w:firstLine="640"/>
        <w:jc w:val="left"/>
        <w:rPr>
          <w:rFonts w:ascii="仿宋_GB2312" w:eastAsia="仿宋_GB2312" w:hAnsi="宋体" w:cs="宋体"/>
          <w:color w:val="040404"/>
          <w:kern w:val="0"/>
          <w:szCs w:val="21"/>
        </w:rPr>
      </w:pPr>
      <w:r w:rsidRPr="00631C37">
        <w:rPr>
          <w:rFonts w:ascii="仿宋_GB2312" w:eastAsia="仿宋_GB2312" w:hAnsi="宋体" w:cs="宋体" w:hint="eastAsia"/>
          <w:color w:val="040404"/>
          <w:kern w:val="0"/>
          <w:sz w:val="32"/>
          <w:szCs w:val="32"/>
        </w:rPr>
        <w:t>学院（系）、研究所间接费用占</w:t>
      </w:r>
      <w:r w:rsidRPr="00631C37">
        <w:rPr>
          <w:rFonts w:ascii="Times New Roman" w:eastAsia="仿宋_GB2312" w:hAnsi="Times New Roman" w:cs="Times New Roman"/>
          <w:color w:val="040404"/>
          <w:kern w:val="0"/>
          <w:sz w:val="32"/>
          <w:szCs w:val="32"/>
        </w:rPr>
        <w:t>25</w:t>
      </w:r>
      <w:r w:rsidRPr="00631C37">
        <w:rPr>
          <w:rFonts w:ascii="仿宋_GB2312" w:eastAsia="仿宋_GB2312" w:hAnsi="宋体" w:cs="宋体" w:hint="eastAsia"/>
          <w:color w:val="040404"/>
          <w:kern w:val="0"/>
          <w:sz w:val="32"/>
          <w:szCs w:val="32"/>
        </w:rPr>
        <w:t>%，统筹用于水电费、物管费及其他用于加强本单位科研管理的相关费用，其中，</w:t>
      </w:r>
      <w:r w:rsidRPr="00EB6445">
        <w:rPr>
          <w:rFonts w:ascii="仿宋_GB2312" w:eastAsia="仿宋_GB2312" w:hAnsi="宋体" w:cs="宋体" w:hint="eastAsia"/>
          <w:color w:val="2E74B5" w:themeColor="accent1" w:themeShade="BF"/>
          <w:kern w:val="0"/>
          <w:sz w:val="32"/>
          <w:szCs w:val="32"/>
        </w:rPr>
        <w:t>学院（系）管理费占</w:t>
      </w:r>
      <w:r w:rsidRPr="00EB6445">
        <w:rPr>
          <w:rFonts w:ascii="Times New Roman" w:eastAsia="仿宋_GB2312" w:hAnsi="Times New Roman" w:cs="Times New Roman"/>
          <w:color w:val="2E74B5" w:themeColor="accent1" w:themeShade="BF"/>
          <w:kern w:val="0"/>
          <w:sz w:val="32"/>
          <w:szCs w:val="32"/>
        </w:rPr>
        <w:t>5</w:t>
      </w:r>
      <w:r w:rsidRPr="00EB6445">
        <w:rPr>
          <w:rFonts w:ascii="仿宋_GB2312" w:eastAsia="仿宋_GB2312" w:hAnsi="宋体" w:cs="宋体" w:hint="eastAsia"/>
          <w:color w:val="2E74B5" w:themeColor="accent1" w:themeShade="BF"/>
          <w:kern w:val="0"/>
          <w:sz w:val="32"/>
          <w:szCs w:val="32"/>
        </w:rPr>
        <w:t>%、研究所管理费占</w:t>
      </w:r>
      <w:r w:rsidRPr="00EB6445">
        <w:rPr>
          <w:rFonts w:ascii="Times New Roman" w:eastAsia="仿宋_GB2312" w:hAnsi="Times New Roman" w:cs="Times New Roman"/>
          <w:color w:val="2E74B5" w:themeColor="accent1" w:themeShade="BF"/>
          <w:kern w:val="0"/>
          <w:sz w:val="32"/>
          <w:szCs w:val="32"/>
        </w:rPr>
        <w:t>5</w:t>
      </w:r>
      <w:r w:rsidRPr="00EB6445">
        <w:rPr>
          <w:rFonts w:ascii="仿宋_GB2312" w:eastAsia="仿宋_GB2312" w:hAnsi="宋体" w:cs="宋体" w:hint="eastAsia"/>
          <w:color w:val="2E74B5" w:themeColor="accent1" w:themeShade="BF"/>
          <w:kern w:val="0"/>
          <w:sz w:val="32"/>
          <w:szCs w:val="32"/>
        </w:rPr>
        <w:t>%、用于水电费等补偿费用占</w:t>
      </w:r>
      <w:r w:rsidRPr="00EB6445">
        <w:rPr>
          <w:rFonts w:ascii="Times New Roman" w:eastAsia="仿宋_GB2312" w:hAnsi="Times New Roman" w:cs="Times New Roman"/>
          <w:color w:val="2E74B5" w:themeColor="accent1" w:themeShade="BF"/>
          <w:kern w:val="0"/>
          <w:sz w:val="32"/>
          <w:szCs w:val="32"/>
        </w:rPr>
        <w:t>15</w:t>
      </w:r>
      <w:r w:rsidRPr="00EB6445">
        <w:rPr>
          <w:rFonts w:ascii="仿宋_GB2312" w:eastAsia="仿宋_GB2312" w:hAnsi="宋体" w:cs="宋体" w:hint="eastAsia"/>
          <w:color w:val="2E74B5" w:themeColor="accent1" w:themeShade="BF"/>
          <w:kern w:val="0"/>
          <w:sz w:val="32"/>
          <w:szCs w:val="32"/>
        </w:rPr>
        <w:t>%。</w:t>
      </w:r>
      <w:r w:rsidRPr="00631C37">
        <w:rPr>
          <w:rFonts w:ascii="仿宋_GB2312" w:eastAsia="仿宋_GB2312" w:hAnsi="宋体" w:cs="宋体" w:hint="eastAsia"/>
          <w:color w:val="040404"/>
          <w:kern w:val="0"/>
          <w:sz w:val="32"/>
          <w:szCs w:val="32"/>
        </w:rPr>
        <w:t>学院（系）、研究所间接费用总额中的</w:t>
      </w:r>
      <w:r w:rsidRPr="00631C37">
        <w:rPr>
          <w:rFonts w:ascii="Times New Roman" w:eastAsia="仿宋_GB2312" w:hAnsi="Times New Roman" w:cs="Times New Roman"/>
          <w:color w:val="040404"/>
          <w:kern w:val="0"/>
          <w:sz w:val="32"/>
          <w:szCs w:val="32"/>
        </w:rPr>
        <w:t>10</w:t>
      </w:r>
      <w:r w:rsidRPr="00631C37">
        <w:rPr>
          <w:rFonts w:ascii="仿宋_GB2312" w:eastAsia="仿宋_GB2312" w:hAnsi="宋体" w:cs="宋体" w:hint="eastAsia"/>
          <w:color w:val="040404"/>
          <w:kern w:val="0"/>
          <w:sz w:val="32"/>
          <w:szCs w:val="32"/>
        </w:rPr>
        <w:t>%，由学校进行绩效及信用考核后拨付。</w:t>
      </w:r>
    </w:p>
    <w:p w:rsidR="00631C37" w:rsidRPr="00EB6445" w:rsidRDefault="00631C37" w:rsidP="00631C37">
      <w:pPr>
        <w:widowControl/>
        <w:shd w:val="clear" w:color="auto" w:fill="FFFFFF"/>
        <w:snapToGrid w:val="0"/>
        <w:spacing w:line="600" w:lineRule="atLeast"/>
        <w:ind w:firstLine="640"/>
        <w:jc w:val="left"/>
        <w:rPr>
          <w:rFonts w:ascii="仿宋_GB2312" w:eastAsia="仿宋_GB2312" w:hAnsi="宋体" w:cs="宋体"/>
          <w:color w:val="2E74B5" w:themeColor="accent1" w:themeShade="BF"/>
          <w:kern w:val="0"/>
          <w:szCs w:val="21"/>
        </w:rPr>
      </w:pPr>
      <w:r w:rsidRPr="00EB6445">
        <w:rPr>
          <w:rFonts w:ascii="仿宋_GB2312" w:eastAsia="仿宋_GB2312" w:hAnsi="宋体" w:cs="宋体" w:hint="eastAsia"/>
          <w:color w:val="2E74B5" w:themeColor="accent1" w:themeShade="BF"/>
          <w:kern w:val="0"/>
          <w:sz w:val="32"/>
          <w:szCs w:val="32"/>
        </w:rPr>
        <w:t>项目（课题）组间接费用占</w:t>
      </w:r>
      <w:r w:rsidRPr="00EB6445">
        <w:rPr>
          <w:rFonts w:ascii="Times New Roman" w:eastAsia="仿宋_GB2312" w:hAnsi="Times New Roman" w:cs="Times New Roman"/>
          <w:color w:val="2E74B5" w:themeColor="accent1" w:themeShade="BF"/>
          <w:kern w:val="0"/>
          <w:sz w:val="32"/>
          <w:szCs w:val="32"/>
        </w:rPr>
        <w:t>45</w:t>
      </w:r>
      <w:r w:rsidRPr="00EB6445">
        <w:rPr>
          <w:rFonts w:ascii="仿宋_GB2312" w:eastAsia="仿宋_GB2312" w:hAnsi="宋体" w:cs="宋体" w:hint="eastAsia"/>
          <w:color w:val="2E74B5" w:themeColor="accent1" w:themeShade="BF"/>
          <w:kern w:val="0"/>
          <w:sz w:val="32"/>
          <w:szCs w:val="32"/>
        </w:rPr>
        <w:t>%，用于缴纳学校科研公共资源占用费；无法在直接费用中列支的通用设备、办公材料等费用及项目（课题）组的科研绩效支出。绩效支出发放额度按国家有关规定执行。</w:t>
      </w:r>
    </w:p>
    <w:p w:rsidR="00631C37" w:rsidRPr="00631C37" w:rsidRDefault="00631C37" w:rsidP="00631C37">
      <w:pPr>
        <w:widowControl/>
        <w:shd w:val="clear" w:color="auto" w:fill="FFFFFF"/>
        <w:snapToGrid w:val="0"/>
        <w:spacing w:line="600" w:lineRule="atLeast"/>
        <w:ind w:firstLine="640"/>
        <w:jc w:val="left"/>
        <w:rPr>
          <w:rFonts w:ascii="仿宋_GB2312" w:eastAsia="仿宋_GB2312" w:hAnsi="宋体" w:cs="宋体"/>
          <w:color w:val="040404"/>
          <w:kern w:val="0"/>
          <w:szCs w:val="21"/>
        </w:rPr>
      </w:pPr>
      <w:r w:rsidRPr="00631C37">
        <w:rPr>
          <w:rFonts w:ascii="仿宋_GB2312" w:eastAsia="仿宋_GB2312" w:hAnsi="宋体" w:cs="宋体" w:hint="eastAsia"/>
          <w:color w:val="040404"/>
          <w:kern w:val="0"/>
          <w:sz w:val="32"/>
          <w:szCs w:val="32"/>
        </w:rPr>
        <w:lastRenderedPageBreak/>
        <w:t>以上比例按间接费用总额计算。</w:t>
      </w:r>
    </w:p>
    <w:p w:rsidR="00631C37" w:rsidRPr="00631C37" w:rsidRDefault="00631C37" w:rsidP="00631C37">
      <w:pPr>
        <w:widowControl/>
        <w:shd w:val="clear" w:color="auto" w:fill="FFFFFF"/>
        <w:snapToGrid w:val="0"/>
        <w:spacing w:line="600" w:lineRule="atLeast"/>
        <w:ind w:firstLine="640"/>
        <w:jc w:val="left"/>
        <w:rPr>
          <w:rFonts w:ascii="仿宋_GB2312" w:eastAsia="仿宋_GB2312" w:hAnsi="宋体" w:cs="宋体"/>
          <w:color w:val="040404"/>
          <w:kern w:val="0"/>
          <w:szCs w:val="21"/>
        </w:rPr>
      </w:pPr>
      <w:r w:rsidRPr="00631C37">
        <w:rPr>
          <w:rFonts w:ascii="黑体" w:eastAsia="黑体" w:hAnsi="黑体" w:cs="宋体" w:hint="eastAsia"/>
          <w:color w:val="040404"/>
          <w:kern w:val="0"/>
          <w:sz w:val="32"/>
          <w:szCs w:val="32"/>
        </w:rPr>
        <w:t>四、其他</w:t>
      </w:r>
    </w:p>
    <w:p w:rsidR="00631C37" w:rsidRPr="00631C37" w:rsidRDefault="00631C37" w:rsidP="00631C37">
      <w:pPr>
        <w:widowControl/>
        <w:shd w:val="clear" w:color="auto" w:fill="FFFFFF"/>
        <w:snapToGrid w:val="0"/>
        <w:spacing w:line="600" w:lineRule="atLeast"/>
        <w:ind w:firstLine="640"/>
        <w:jc w:val="left"/>
        <w:rPr>
          <w:rFonts w:ascii="仿宋_GB2312" w:eastAsia="仿宋_GB2312" w:hAnsi="宋体" w:cs="宋体"/>
          <w:color w:val="040404"/>
          <w:kern w:val="0"/>
          <w:szCs w:val="21"/>
        </w:rPr>
      </w:pPr>
      <w:r w:rsidRPr="00631C37">
        <w:rPr>
          <w:rFonts w:ascii="仿宋_GB2312" w:eastAsia="仿宋_GB2312" w:hAnsi="宋体" w:cs="宋体" w:hint="eastAsia"/>
          <w:color w:val="040404"/>
          <w:kern w:val="0"/>
          <w:sz w:val="32"/>
          <w:szCs w:val="32"/>
        </w:rPr>
        <w:t>1．校</w:t>
      </w:r>
      <w:proofErr w:type="gramStart"/>
      <w:r w:rsidRPr="00631C37">
        <w:rPr>
          <w:rFonts w:ascii="仿宋_GB2312" w:eastAsia="仿宋_GB2312" w:hAnsi="宋体" w:cs="宋体" w:hint="eastAsia"/>
          <w:color w:val="040404"/>
          <w:kern w:val="0"/>
          <w:sz w:val="32"/>
          <w:szCs w:val="32"/>
        </w:rPr>
        <w:t>设科研</w:t>
      </w:r>
      <w:proofErr w:type="gramEnd"/>
      <w:r w:rsidRPr="00631C37">
        <w:rPr>
          <w:rFonts w:ascii="仿宋_GB2312" w:eastAsia="仿宋_GB2312" w:hAnsi="宋体" w:cs="宋体" w:hint="eastAsia"/>
          <w:color w:val="040404"/>
          <w:kern w:val="0"/>
          <w:sz w:val="32"/>
          <w:szCs w:val="32"/>
        </w:rPr>
        <w:t>机构参照学院（系）执行。</w:t>
      </w:r>
    </w:p>
    <w:p w:rsidR="00631C37" w:rsidRPr="00631C37" w:rsidRDefault="00631C37" w:rsidP="00631C37">
      <w:pPr>
        <w:widowControl/>
        <w:shd w:val="clear" w:color="auto" w:fill="FFFFFF"/>
        <w:snapToGrid w:val="0"/>
        <w:spacing w:line="600" w:lineRule="atLeast"/>
        <w:ind w:firstLine="640"/>
        <w:jc w:val="left"/>
        <w:rPr>
          <w:rFonts w:ascii="仿宋_GB2312" w:eastAsia="仿宋_GB2312" w:hAnsi="宋体" w:cs="宋体"/>
          <w:color w:val="040404"/>
          <w:kern w:val="0"/>
          <w:szCs w:val="21"/>
        </w:rPr>
      </w:pPr>
      <w:r w:rsidRPr="00631C37">
        <w:rPr>
          <w:rFonts w:ascii="仿宋_GB2312" w:eastAsia="仿宋_GB2312" w:hAnsi="宋体" w:cs="宋体" w:hint="eastAsia"/>
          <w:color w:val="040404"/>
          <w:kern w:val="0"/>
          <w:sz w:val="32"/>
          <w:szCs w:val="32"/>
        </w:rPr>
        <w:t>2．医学院附属医院参照研究所执行，由医学院统筹管理。</w:t>
      </w:r>
    </w:p>
    <w:p w:rsidR="00631C37" w:rsidRPr="00631C37" w:rsidRDefault="00631C37" w:rsidP="00631C37">
      <w:pPr>
        <w:widowControl/>
        <w:shd w:val="clear" w:color="auto" w:fill="FFFFFF"/>
        <w:snapToGrid w:val="0"/>
        <w:spacing w:line="600" w:lineRule="atLeast"/>
        <w:ind w:firstLine="640"/>
        <w:jc w:val="left"/>
        <w:rPr>
          <w:rFonts w:ascii="仿宋_GB2312" w:eastAsia="仿宋_GB2312" w:hAnsi="宋体" w:cs="宋体"/>
          <w:color w:val="040404"/>
          <w:kern w:val="0"/>
          <w:szCs w:val="21"/>
        </w:rPr>
      </w:pPr>
      <w:r w:rsidRPr="00631C37">
        <w:rPr>
          <w:rFonts w:ascii="仿宋_GB2312" w:eastAsia="仿宋_GB2312" w:hAnsi="宋体" w:cs="宋体" w:hint="eastAsia"/>
          <w:color w:val="040404"/>
          <w:kern w:val="0"/>
          <w:sz w:val="32"/>
          <w:szCs w:val="32"/>
        </w:rPr>
        <w:t>3．本办法适用于间接费用直接核定的科研项目，由科学技术研究院和计划财务处负责解释。</w:t>
      </w:r>
    </w:p>
    <w:p w:rsidR="00631C37" w:rsidRPr="00631C37" w:rsidRDefault="00631C37" w:rsidP="00631C37">
      <w:pPr>
        <w:widowControl/>
        <w:shd w:val="clear" w:color="auto" w:fill="FFFFFF"/>
        <w:snapToGrid w:val="0"/>
        <w:spacing w:line="600" w:lineRule="atLeast"/>
        <w:ind w:firstLine="640"/>
        <w:jc w:val="left"/>
        <w:rPr>
          <w:rFonts w:ascii="仿宋_GB2312" w:eastAsia="仿宋_GB2312" w:hAnsi="宋体" w:cs="宋体"/>
          <w:color w:val="040404"/>
          <w:kern w:val="0"/>
          <w:szCs w:val="21"/>
        </w:rPr>
      </w:pPr>
      <w:r w:rsidRPr="00631C37">
        <w:rPr>
          <w:rFonts w:ascii="仿宋_GB2312" w:eastAsia="仿宋_GB2312" w:hAnsi="宋体" w:cs="宋体" w:hint="eastAsia"/>
          <w:color w:val="040404"/>
          <w:kern w:val="0"/>
          <w:sz w:val="32"/>
          <w:szCs w:val="32"/>
        </w:rPr>
        <w:t>4. 本办法自发布之日起施行。学校原有相关规定若与本办法不一致的，以本办法为准。</w:t>
      </w:r>
      <w:bookmarkStart w:id="0" w:name="_GoBack"/>
      <w:bookmarkEnd w:id="0"/>
    </w:p>
    <w:p w:rsidR="00A010BD" w:rsidRPr="00631C37" w:rsidRDefault="00A010BD"/>
    <w:sectPr w:rsidR="00A010BD" w:rsidRPr="00631C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8EB"/>
    <w:rsid w:val="00631C37"/>
    <w:rsid w:val="007948EB"/>
    <w:rsid w:val="00A010BD"/>
    <w:rsid w:val="00EB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A79CB-1A17-4626-AB11-1E387683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482327">
      <w:bodyDiv w:val="1"/>
      <w:marLeft w:val="0"/>
      <w:marRight w:val="0"/>
      <w:marTop w:val="0"/>
      <w:marBottom w:val="0"/>
      <w:divBdr>
        <w:top w:val="none" w:sz="0" w:space="0" w:color="auto"/>
        <w:left w:val="none" w:sz="0" w:space="0" w:color="auto"/>
        <w:bottom w:val="none" w:sz="0" w:space="0" w:color="auto"/>
        <w:right w:val="none" w:sz="0" w:space="0" w:color="auto"/>
      </w:divBdr>
      <w:divsChild>
        <w:div w:id="2086147461">
          <w:marLeft w:val="0"/>
          <w:marRight w:val="0"/>
          <w:marTop w:val="375"/>
          <w:marBottom w:val="375"/>
          <w:divBdr>
            <w:top w:val="none" w:sz="0" w:space="0" w:color="auto"/>
            <w:left w:val="none" w:sz="0" w:space="0" w:color="auto"/>
            <w:bottom w:val="none" w:sz="0" w:space="0" w:color="auto"/>
            <w:right w:val="none" w:sz="0" w:space="0" w:color="auto"/>
          </w:divBdr>
          <w:divsChild>
            <w:div w:id="1842626187">
              <w:marLeft w:val="0"/>
              <w:marRight w:val="0"/>
              <w:marTop w:val="0"/>
              <w:marBottom w:val="0"/>
              <w:divBdr>
                <w:top w:val="single" w:sz="18" w:space="0" w:color="E38405"/>
                <w:left w:val="single" w:sz="6" w:space="0" w:color="DFE0E4"/>
                <w:bottom w:val="single" w:sz="6" w:space="0" w:color="DFE0E4"/>
                <w:right w:val="single" w:sz="6" w:space="0" w:color="DFE0E4"/>
              </w:divBdr>
              <w:divsChild>
                <w:div w:id="761681682">
                  <w:marLeft w:val="0"/>
                  <w:marRight w:val="0"/>
                  <w:marTop w:val="0"/>
                  <w:marBottom w:val="0"/>
                  <w:divBdr>
                    <w:top w:val="none" w:sz="0" w:space="0" w:color="auto"/>
                    <w:left w:val="none" w:sz="0" w:space="0" w:color="auto"/>
                    <w:bottom w:val="none" w:sz="0" w:space="0" w:color="auto"/>
                    <w:right w:val="none" w:sz="0" w:space="0" w:color="auto"/>
                  </w:divBdr>
                  <w:divsChild>
                    <w:div w:id="364713450">
                      <w:marLeft w:val="0"/>
                      <w:marRight w:val="0"/>
                      <w:marTop w:val="0"/>
                      <w:marBottom w:val="0"/>
                      <w:divBdr>
                        <w:top w:val="none" w:sz="0" w:space="0" w:color="auto"/>
                        <w:left w:val="none" w:sz="0" w:space="0" w:color="auto"/>
                        <w:bottom w:val="none" w:sz="0" w:space="0" w:color="auto"/>
                        <w:right w:val="none" w:sz="0" w:space="0" w:color="auto"/>
                      </w:divBdr>
                      <w:divsChild>
                        <w:div w:id="1663855087">
                          <w:marLeft w:val="0"/>
                          <w:marRight w:val="0"/>
                          <w:marTop w:val="0"/>
                          <w:marBottom w:val="0"/>
                          <w:divBdr>
                            <w:top w:val="none" w:sz="0" w:space="0" w:color="auto"/>
                            <w:left w:val="none" w:sz="0" w:space="0" w:color="auto"/>
                            <w:bottom w:val="none" w:sz="0" w:space="0" w:color="auto"/>
                            <w:right w:val="none" w:sz="0" w:space="0" w:color="auto"/>
                          </w:divBdr>
                          <w:divsChild>
                            <w:div w:id="404111378">
                              <w:marLeft w:val="0"/>
                              <w:marRight w:val="0"/>
                              <w:marTop w:val="0"/>
                              <w:marBottom w:val="0"/>
                              <w:divBdr>
                                <w:top w:val="none" w:sz="0" w:space="0" w:color="auto"/>
                                <w:left w:val="none" w:sz="0" w:space="0" w:color="auto"/>
                                <w:bottom w:val="none" w:sz="0" w:space="0" w:color="auto"/>
                                <w:right w:val="none" w:sz="0" w:space="0" w:color="auto"/>
                              </w:divBdr>
                            </w:div>
                            <w:div w:id="143162969">
                              <w:marLeft w:val="0"/>
                              <w:marRight w:val="0"/>
                              <w:marTop w:val="0"/>
                              <w:marBottom w:val="0"/>
                              <w:divBdr>
                                <w:top w:val="none" w:sz="0" w:space="0" w:color="auto"/>
                                <w:left w:val="none" w:sz="0" w:space="0" w:color="auto"/>
                                <w:bottom w:val="none" w:sz="0" w:space="0" w:color="auto"/>
                                <w:right w:val="none" w:sz="0" w:space="0" w:color="auto"/>
                              </w:divBdr>
                            </w:div>
                            <w:div w:id="1483811951">
                              <w:marLeft w:val="0"/>
                              <w:marRight w:val="0"/>
                              <w:marTop w:val="0"/>
                              <w:marBottom w:val="0"/>
                              <w:divBdr>
                                <w:top w:val="none" w:sz="0" w:space="0" w:color="auto"/>
                                <w:left w:val="none" w:sz="0" w:space="0" w:color="auto"/>
                                <w:bottom w:val="none" w:sz="0" w:space="0" w:color="auto"/>
                                <w:right w:val="none" w:sz="0" w:space="0" w:color="auto"/>
                              </w:divBdr>
                            </w:div>
                            <w:div w:id="711735637">
                              <w:marLeft w:val="0"/>
                              <w:marRight w:val="0"/>
                              <w:marTop w:val="0"/>
                              <w:marBottom w:val="0"/>
                              <w:divBdr>
                                <w:top w:val="none" w:sz="0" w:space="0" w:color="auto"/>
                                <w:left w:val="none" w:sz="0" w:space="0" w:color="auto"/>
                                <w:bottom w:val="none" w:sz="0" w:space="0" w:color="auto"/>
                                <w:right w:val="none" w:sz="0" w:space="0" w:color="auto"/>
                              </w:divBdr>
                            </w:div>
                            <w:div w:id="101851571">
                              <w:marLeft w:val="0"/>
                              <w:marRight w:val="0"/>
                              <w:marTop w:val="0"/>
                              <w:marBottom w:val="0"/>
                              <w:divBdr>
                                <w:top w:val="none" w:sz="0" w:space="0" w:color="auto"/>
                                <w:left w:val="none" w:sz="0" w:space="0" w:color="auto"/>
                                <w:bottom w:val="none" w:sz="0" w:space="0" w:color="auto"/>
                                <w:right w:val="none" w:sz="0" w:space="0" w:color="auto"/>
                              </w:divBdr>
                            </w:div>
                            <w:div w:id="1552575759">
                              <w:marLeft w:val="0"/>
                              <w:marRight w:val="0"/>
                              <w:marTop w:val="0"/>
                              <w:marBottom w:val="0"/>
                              <w:divBdr>
                                <w:top w:val="none" w:sz="0" w:space="0" w:color="auto"/>
                                <w:left w:val="none" w:sz="0" w:space="0" w:color="auto"/>
                                <w:bottom w:val="none" w:sz="0" w:space="0" w:color="auto"/>
                                <w:right w:val="none" w:sz="0" w:space="0" w:color="auto"/>
                              </w:divBdr>
                            </w:div>
                            <w:div w:id="1859611914">
                              <w:marLeft w:val="0"/>
                              <w:marRight w:val="0"/>
                              <w:marTop w:val="0"/>
                              <w:marBottom w:val="0"/>
                              <w:divBdr>
                                <w:top w:val="none" w:sz="0" w:space="0" w:color="auto"/>
                                <w:left w:val="none" w:sz="0" w:space="0" w:color="auto"/>
                                <w:bottom w:val="none" w:sz="0" w:space="0" w:color="auto"/>
                                <w:right w:val="none" w:sz="0" w:space="0" w:color="auto"/>
                              </w:divBdr>
                            </w:div>
                            <w:div w:id="1179737509">
                              <w:marLeft w:val="0"/>
                              <w:marRight w:val="0"/>
                              <w:marTop w:val="0"/>
                              <w:marBottom w:val="0"/>
                              <w:divBdr>
                                <w:top w:val="none" w:sz="0" w:space="0" w:color="auto"/>
                                <w:left w:val="none" w:sz="0" w:space="0" w:color="auto"/>
                                <w:bottom w:val="none" w:sz="0" w:space="0" w:color="auto"/>
                                <w:right w:val="none" w:sz="0" w:space="0" w:color="auto"/>
                              </w:divBdr>
                            </w:div>
                            <w:div w:id="762729808">
                              <w:marLeft w:val="0"/>
                              <w:marRight w:val="0"/>
                              <w:marTop w:val="0"/>
                              <w:marBottom w:val="0"/>
                              <w:divBdr>
                                <w:top w:val="none" w:sz="0" w:space="0" w:color="auto"/>
                                <w:left w:val="none" w:sz="0" w:space="0" w:color="auto"/>
                                <w:bottom w:val="none" w:sz="0" w:space="0" w:color="auto"/>
                                <w:right w:val="none" w:sz="0" w:space="0" w:color="auto"/>
                              </w:divBdr>
                            </w:div>
                            <w:div w:id="224922561">
                              <w:marLeft w:val="0"/>
                              <w:marRight w:val="0"/>
                              <w:marTop w:val="0"/>
                              <w:marBottom w:val="0"/>
                              <w:divBdr>
                                <w:top w:val="none" w:sz="0" w:space="0" w:color="auto"/>
                                <w:left w:val="none" w:sz="0" w:space="0" w:color="auto"/>
                                <w:bottom w:val="none" w:sz="0" w:space="0" w:color="auto"/>
                                <w:right w:val="none" w:sz="0" w:space="0" w:color="auto"/>
                              </w:divBdr>
                            </w:div>
                            <w:div w:id="1875071032">
                              <w:marLeft w:val="0"/>
                              <w:marRight w:val="0"/>
                              <w:marTop w:val="0"/>
                              <w:marBottom w:val="0"/>
                              <w:divBdr>
                                <w:top w:val="none" w:sz="0" w:space="0" w:color="auto"/>
                                <w:left w:val="none" w:sz="0" w:space="0" w:color="auto"/>
                                <w:bottom w:val="none" w:sz="0" w:space="0" w:color="auto"/>
                                <w:right w:val="none" w:sz="0" w:space="0" w:color="auto"/>
                              </w:divBdr>
                            </w:div>
                            <w:div w:id="233586967">
                              <w:marLeft w:val="0"/>
                              <w:marRight w:val="0"/>
                              <w:marTop w:val="0"/>
                              <w:marBottom w:val="0"/>
                              <w:divBdr>
                                <w:top w:val="none" w:sz="0" w:space="0" w:color="auto"/>
                                <w:left w:val="none" w:sz="0" w:space="0" w:color="auto"/>
                                <w:bottom w:val="none" w:sz="0" w:space="0" w:color="auto"/>
                                <w:right w:val="none" w:sz="0" w:space="0" w:color="auto"/>
                              </w:divBdr>
                            </w:div>
                            <w:div w:id="630676746">
                              <w:marLeft w:val="0"/>
                              <w:marRight w:val="0"/>
                              <w:marTop w:val="0"/>
                              <w:marBottom w:val="0"/>
                              <w:divBdr>
                                <w:top w:val="none" w:sz="0" w:space="0" w:color="auto"/>
                                <w:left w:val="none" w:sz="0" w:space="0" w:color="auto"/>
                                <w:bottom w:val="none" w:sz="0" w:space="0" w:color="auto"/>
                                <w:right w:val="none" w:sz="0" w:space="0" w:color="auto"/>
                              </w:divBdr>
                            </w:div>
                            <w:div w:id="2058162949">
                              <w:marLeft w:val="0"/>
                              <w:marRight w:val="0"/>
                              <w:marTop w:val="0"/>
                              <w:marBottom w:val="0"/>
                              <w:divBdr>
                                <w:top w:val="none" w:sz="0" w:space="0" w:color="auto"/>
                                <w:left w:val="none" w:sz="0" w:space="0" w:color="auto"/>
                                <w:bottom w:val="none" w:sz="0" w:space="0" w:color="auto"/>
                                <w:right w:val="none" w:sz="0" w:space="0" w:color="auto"/>
                              </w:divBdr>
                            </w:div>
                            <w:div w:id="837690560">
                              <w:marLeft w:val="0"/>
                              <w:marRight w:val="0"/>
                              <w:marTop w:val="0"/>
                              <w:marBottom w:val="0"/>
                              <w:divBdr>
                                <w:top w:val="none" w:sz="0" w:space="0" w:color="auto"/>
                                <w:left w:val="none" w:sz="0" w:space="0" w:color="auto"/>
                                <w:bottom w:val="none" w:sz="0" w:space="0" w:color="auto"/>
                                <w:right w:val="none" w:sz="0" w:space="0" w:color="auto"/>
                              </w:divBdr>
                            </w:div>
                            <w:div w:id="1176768578">
                              <w:marLeft w:val="0"/>
                              <w:marRight w:val="0"/>
                              <w:marTop w:val="0"/>
                              <w:marBottom w:val="0"/>
                              <w:divBdr>
                                <w:top w:val="none" w:sz="0" w:space="0" w:color="auto"/>
                                <w:left w:val="none" w:sz="0" w:space="0" w:color="auto"/>
                                <w:bottom w:val="none" w:sz="0" w:space="0" w:color="auto"/>
                                <w:right w:val="none" w:sz="0" w:space="0" w:color="auto"/>
                              </w:divBdr>
                            </w:div>
                            <w:div w:id="830288794">
                              <w:marLeft w:val="0"/>
                              <w:marRight w:val="0"/>
                              <w:marTop w:val="0"/>
                              <w:marBottom w:val="0"/>
                              <w:divBdr>
                                <w:top w:val="none" w:sz="0" w:space="0" w:color="auto"/>
                                <w:left w:val="none" w:sz="0" w:space="0" w:color="auto"/>
                                <w:bottom w:val="none" w:sz="0" w:space="0" w:color="auto"/>
                                <w:right w:val="none" w:sz="0" w:space="0" w:color="auto"/>
                              </w:divBdr>
                            </w:div>
                            <w:div w:id="898324893">
                              <w:marLeft w:val="0"/>
                              <w:marRight w:val="0"/>
                              <w:marTop w:val="0"/>
                              <w:marBottom w:val="0"/>
                              <w:divBdr>
                                <w:top w:val="none" w:sz="0" w:space="0" w:color="auto"/>
                                <w:left w:val="none" w:sz="0" w:space="0" w:color="auto"/>
                                <w:bottom w:val="none" w:sz="0" w:space="0" w:color="auto"/>
                                <w:right w:val="none" w:sz="0" w:space="0" w:color="auto"/>
                              </w:divBdr>
                            </w:div>
                            <w:div w:id="1905023852">
                              <w:marLeft w:val="0"/>
                              <w:marRight w:val="0"/>
                              <w:marTop w:val="0"/>
                              <w:marBottom w:val="0"/>
                              <w:divBdr>
                                <w:top w:val="none" w:sz="0" w:space="0" w:color="auto"/>
                                <w:left w:val="none" w:sz="0" w:space="0" w:color="auto"/>
                                <w:bottom w:val="none" w:sz="0" w:space="0" w:color="auto"/>
                                <w:right w:val="none" w:sz="0" w:space="0" w:color="auto"/>
                              </w:divBdr>
                            </w:div>
                            <w:div w:id="1598752309">
                              <w:marLeft w:val="0"/>
                              <w:marRight w:val="0"/>
                              <w:marTop w:val="0"/>
                              <w:marBottom w:val="0"/>
                              <w:divBdr>
                                <w:top w:val="none" w:sz="0" w:space="0" w:color="auto"/>
                                <w:left w:val="none" w:sz="0" w:space="0" w:color="auto"/>
                                <w:bottom w:val="none" w:sz="0" w:space="0" w:color="auto"/>
                                <w:right w:val="none" w:sz="0" w:space="0" w:color="auto"/>
                              </w:divBdr>
                            </w:div>
                            <w:div w:id="560867597">
                              <w:marLeft w:val="0"/>
                              <w:marRight w:val="0"/>
                              <w:marTop w:val="0"/>
                              <w:marBottom w:val="0"/>
                              <w:divBdr>
                                <w:top w:val="none" w:sz="0" w:space="0" w:color="auto"/>
                                <w:left w:val="none" w:sz="0" w:space="0" w:color="auto"/>
                                <w:bottom w:val="none" w:sz="0" w:space="0" w:color="auto"/>
                                <w:right w:val="none" w:sz="0" w:space="0" w:color="auto"/>
                              </w:divBdr>
                            </w:div>
                            <w:div w:id="1799685495">
                              <w:marLeft w:val="0"/>
                              <w:marRight w:val="0"/>
                              <w:marTop w:val="0"/>
                              <w:marBottom w:val="0"/>
                              <w:divBdr>
                                <w:top w:val="none" w:sz="0" w:space="0" w:color="auto"/>
                                <w:left w:val="none" w:sz="0" w:space="0" w:color="auto"/>
                                <w:bottom w:val="none" w:sz="0" w:space="0" w:color="auto"/>
                                <w:right w:val="none" w:sz="0" w:space="0" w:color="auto"/>
                              </w:divBdr>
                            </w:div>
                            <w:div w:id="866598233">
                              <w:marLeft w:val="0"/>
                              <w:marRight w:val="0"/>
                              <w:marTop w:val="0"/>
                              <w:marBottom w:val="0"/>
                              <w:divBdr>
                                <w:top w:val="none" w:sz="0" w:space="0" w:color="auto"/>
                                <w:left w:val="none" w:sz="0" w:space="0" w:color="auto"/>
                                <w:bottom w:val="none" w:sz="0" w:space="0" w:color="auto"/>
                                <w:right w:val="none" w:sz="0" w:space="0" w:color="auto"/>
                              </w:divBdr>
                            </w:div>
                            <w:div w:id="5600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2015-04-22T00:58:00Z</dcterms:created>
  <dcterms:modified xsi:type="dcterms:W3CDTF">2015-04-22T01:27:00Z</dcterms:modified>
</cp:coreProperties>
</file>